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BD5AF" w14:textId="77777777" w:rsidR="00B3398C" w:rsidRDefault="00B3398C">
      <w:pPr>
        <w:widowControl w:val="0"/>
        <w:autoSpaceDE w:val="0"/>
        <w:autoSpaceDN w:val="0"/>
        <w:adjustRightInd w:val="0"/>
        <w:spacing w:before="14" w:line="240" w:lineRule="exact"/>
        <w:ind w:left="120"/>
        <w:rPr>
          <w:b/>
          <w:bCs/>
        </w:rPr>
      </w:pPr>
    </w:p>
    <w:p w14:paraId="32618D24" w14:textId="77777777" w:rsidR="00B3398C" w:rsidRDefault="00B3398C">
      <w:pPr>
        <w:widowControl w:val="0"/>
        <w:autoSpaceDE w:val="0"/>
        <w:autoSpaceDN w:val="0"/>
        <w:adjustRightInd w:val="0"/>
        <w:spacing w:before="14" w:line="240" w:lineRule="exact"/>
        <w:ind w:left="120"/>
        <w:rPr>
          <w:b/>
          <w:bCs/>
        </w:rPr>
      </w:pPr>
    </w:p>
    <w:p w14:paraId="63706D80" w14:textId="77777777" w:rsidR="00B3398C" w:rsidRDefault="00B3398C">
      <w:pPr>
        <w:widowControl w:val="0"/>
        <w:autoSpaceDE w:val="0"/>
        <w:autoSpaceDN w:val="0"/>
        <w:adjustRightInd w:val="0"/>
        <w:spacing w:before="14" w:line="240" w:lineRule="exact"/>
        <w:ind w:left="120"/>
        <w:rPr>
          <w:b/>
          <w:bCs/>
        </w:rPr>
      </w:pPr>
    </w:p>
    <w:p w14:paraId="6B25B604" w14:textId="77777777" w:rsidR="00B3398C" w:rsidRDefault="00B3398C">
      <w:pPr>
        <w:widowControl w:val="0"/>
        <w:autoSpaceDE w:val="0"/>
        <w:autoSpaceDN w:val="0"/>
        <w:adjustRightInd w:val="0"/>
        <w:spacing w:before="14" w:line="240" w:lineRule="exact"/>
        <w:ind w:left="120"/>
        <w:rPr>
          <w:b/>
          <w:bCs/>
        </w:rPr>
      </w:pPr>
    </w:p>
    <w:p w14:paraId="20C4B496" w14:textId="77777777" w:rsidR="00B3398C" w:rsidRDefault="00B3398C">
      <w:pPr>
        <w:widowControl w:val="0"/>
        <w:autoSpaceDE w:val="0"/>
        <w:autoSpaceDN w:val="0"/>
        <w:adjustRightInd w:val="0"/>
        <w:spacing w:before="14" w:line="240" w:lineRule="exact"/>
        <w:ind w:left="120"/>
        <w:rPr>
          <w:b/>
          <w:bCs/>
        </w:rPr>
      </w:pPr>
    </w:p>
    <w:p w14:paraId="35509F28" w14:textId="77777777" w:rsidR="00B3398C" w:rsidRDefault="00B3398C">
      <w:pPr>
        <w:widowControl w:val="0"/>
        <w:autoSpaceDE w:val="0"/>
        <w:autoSpaceDN w:val="0"/>
        <w:adjustRightInd w:val="0"/>
        <w:spacing w:before="14" w:line="240" w:lineRule="exact"/>
        <w:ind w:left="120"/>
        <w:rPr>
          <w:b/>
          <w:bCs/>
        </w:rPr>
      </w:pPr>
    </w:p>
    <w:p w14:paraId="70F69200" w14:textId="77777777" w:rsidR="00B3398C" w:rsidRDefault="00B1466D" w:rsidP="00C649C5">
      <w:pPr>
        <w:jc w:val="center"/>
      </w:pPr>
      <w:r>
        <w:rPr>
          <w:noProof/>
          <w:lang w:eastAsia="fr-FR"/>
        </w:rPr>
        <w:drawing>
          <wp:inline distT="0" distB="0" distL="0" distR="0" wp14:anchorId="613911A2" wp14:editId="65665961">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3E4C0D5A" w14:textId="77777777" w:rsidR="00632595" w:rsidRDefault="00632595"/>
    <w:p w14:paraId="06A8F936" w14:textId="77777777" w:rsidR="00B3398C" w:rsidRDefault="00B3398C"/>
    <w:p w14:paraId="1B6D32FC" w14:textId="77777777" w:rsidR="00B3398C" w:rsidRDefault="00B3398C" w:rsidP="00B1466D">
      <w:pPr>
        <w:rPr>
          <w:rFonts w:ascii="Arial" w:hAnsi="Arial" w:cs="Arial"/>
          <w:sz w:val="36"/>
          <w:szCs w:val="36"/>
        </w:rPr>
      </w:pPr>
    </w:p>
    <w:p w14:paraId="4749A106"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6EB334D9" w14:textId="77777777" w:rsidR="00B3398C" w:rsidRPr="00707B79"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9F0C4E" w:rsidRPr="00707B79">
        <w:rPr>
          <w:rFonts w:ascii="Arial" w:hAnsi="Arial" w:cs="Arial"/>
          <w:b/>
          <w:color w:val="C00000"/>
          <w:sz w:val="36"/>
          <w:szCs w:val="36"/>
        </w:rPr>
        <w:t>………………</w:t>
      </w:r>
      <w:proofErr w:type="gramStart"/>
      <w:r w:rsidR="009F0C4E" w:rsidRPr="00707B79">
        <w:rPr>
          <w:rFonts w:ascii="Arial" w:hAnsi="Arial" w:cs="Arial"/>
          <w:b/>
          <w:color w:val="C00000"/>
          <w:sz w:val="36"/>
          <w:szCs w:val="36"/>
        </w:rPr>
        <w:t>…….</w:t>
      </w:r>
      <w:proofErr w:type="gramEnd"/>
      <w:r w:rsidR="009F0C4E" w:rsidRPr="00707B79">
        <w:rPr>
          <w:rFonts w:ascii="Arial" w:hAnsi="Arial" w:cs="Arial"/>
          <w:b/>
          <w:color w:val="C00000"/>
          <w:sz w:val="36"/>
          <w:szCs w:val="36"/>
        </w:rPr>
        <w:t>.</w:t>
      </w:r>
    </w:p>
    <w:p w14:paraId="6BFF6895" w14:textId="77777777" w:rsidR="00105764" w:rsidRDefault="00105764" w:rsidP="003C2E90">
      <w:pPr>
        <w:pBdr>
          <w:top w:val="single" w:sz="18" w:space="0" w:color="auto"/>
          <w:left w:val="single" w:sz="18" w:space="4" w:color="auto"/>
          <w:bottom w:val="single" w:sz="18" w:space="1" w:color="auto"/>
          <w:right w:val="single" w:sz="18" w:space="4" w:color="auto"/>
        </w:pBdr>
        <w:jc w:val="center"/>
        <w:rPr>
          <w:rFonts w:ascii="Arial" w:hAnsi="Arial" w:cs="Arial"/>
          <w:i/>
          <w:sz w:val="18"/>
          <w:szCs w:val="18"/>
        </w:rPr>
      </w:pPr>
    </w:p>
    <w:p w14:paraId="405C10CB" w14:textId="77777777" w:rsidR="009F0C4E" w:rsidRDefault="00105764" w:rsidP="003C2E90">
      <w:pPr>
        <w:pBdr>
          <w:top w:val="single" w:sz="18" w:space="0" w:color="auto"/>
          <w:left w:val="single" w:sz="18" w:space="4" w:color="auto"/>
          <w:bottom w:val="single" w:sz="18" w:space="1" w:color="auto"/>
          <w:right w:val="single" w:sz="18" w:space="4" w:color="auto"/>
        </w:pBdr>
        <w:jc w:val="center"/>
        <w:rPr>
          <w:rFonts w:ascii="Arial" w:hAnsi="Arial" w:cs="Arial"/>
          <w:i/>
          <w:sz w:val="18"/>
          <w:szCs w:val="18"/>
        </w:rPr>
      </w:pPr>
      <w:r w:rsidRPr="00105764">
        <w:rPr>
          <w:rFonts w:ascii="Arial" w:hAnsi="Arial" w:cs="Arial"/>
          <w:i/>
          <w:sz w:val="18"/>
          <w:szCs w:val="18"/>
        </w:rPr>
        <w:t>(</w:t>
      </w:r>
      <w:proofErr w:type="gramStart"/>
      <w:r w:rsidRPr="00105764">
        <w:rPr>
          <w:rFonts w:ascii="Arial" w:hAnsi="Arial" w:cs="Arial"/>
          <w:i/>
          <w:sz w:val="18"/>
          <w:szCs w:val="18"/>
        </w:rPr>
        <w:t>référence</w:t>
      </w:r>
      <w:proofErr w:type="gramEnd"/>
      <w:r w:rsidRPr="00105764">
        <w:rPr>
          <w:rFonts w:ascii="Arial" w:hAnsi="Arial" w:cs="Arial"/>
          <w:i/>
          <w:sz w:val="18"/>
          <w:szCs w:val="18"/>
        </w:rPr>
        <w:t xml:space="preserve"> INRAE)</w:t>
      </w:r>
    </w:p>
    <w:p w14:paraId="26FD0E8B" w14:textId="77777777" w:rsidR="00105764" w:rsidRPr="00105764" w:rsidRDefault="00105764" w:rsidP="003C2E90">
      <w:pPr>
        <w:pBdr>
          <w:top w:val="single" w:sz="18" w:space="0" w:color="auto"/>
          <w:left w:val="single" w:sz="18" w:space="4" w:color="auto"/>
          <w:bottom w:val="single" w:sz="18" w:space="1" w:color="auto"/>
          <w:right w:val="single" w:sz="18" w:space="4" w:color="auto"/>
        </w:pBdr>
        <w:jc w:val="center"/>
        <w:rPr>
          <w:rFonts w:ascii="Arial" w:hAnsi="Arial" w:cs="Arial"/>
          <w:i/>
          <w:sz w:val="18"/>
          <w:szCs w:val="18"/>
        </w:rPr>
      </w:pPr>
    </w:p>
    <w:p w14:paraId="5523B952" w14:textId="77777777" w:rsidR="00B3398C" w:rsidRDefault="00B3398C">
      <w:pPr>
        <w:widowControl w:val="0"/>
        <w:autoSpaceDE w:val="0"/>
        <w:autoSpaceDN w:val="0"/>
        <w:adjustRightInd w:val="0"/>
        <w:spacing w:before="14" w:line="240" w:lineRule="exact"/>
        <w:ind w:left="120"/>
        <w:rPr>
          <w:b/>
          <w:bCs/>
        </w:rPr>
      </w:pPr>
    </w:p>
    <w:p w14:paraId="56895BED" w14:textId="77777777" w:rsidR="00B3398C" w:rsidRDefault="00B3398C">
      <w:pPr>
        <w:widowControl w:val="0"/>
        <w:autoSpaceDE w:val="0"/>
        <w:autoSpaceDN w:val="0"/>
        <w:adjustRightInd w:val="0"/>
        <w:spacing w:before="14" w:line="240" w:lineRule="exact"/>
        <w:rPr>
          <w:b/>
          <w:bCs/>
        </w:rPr>
      </w:pPr>
    </w:p>
    <w:p w14:paraId="6E986478" w14:textId="77777777" w:rsidR="00B3398C" w:rsidRDefault="00B3398C">
      <w:pPr>
        <w:widowControl w:val="0"/>
        <w:autoSpaceDE w:val="0"/>
        <w:autoSpaceDN w:val="0"/>
        <w:adjustRightInd w:val="0"/>
        <w:spacing w:before="14" w:line="240" w:lineRule="exact"/>
        <w:rPr>
          <w:b/>
          <w:bCs/>
        </w:rPr>
      </w:pPr>
    </w:p>
    <w:p w14:paraId="67533379" w14:textId="77777777" w:rsidR="00B3398C" w:rsidRDefault="00B3398C">
      <w:pPr>
        <w:widowControl w:val="0"/>
        <w:autoSpaceDE w:val="0"/>
        <w:autoSpaceDN w:val="0"/>
        <w:adjustRightInd w:val="0"/>
        <w:spacing w:before="14" w:line="240" w:lineRule="exact"/>
        <w:rPr>
          <w:b/>
          <w:bCs/>
        </w:rPr>
      </w:pPr>
    </w:p>
    <w:p w14:paraId="7DEA87BD" w14:textId="77777777" w:rsidR="00B3398C" w:rsidRPr="00873A76" w:rsidRDefault="00707B79" w:rsidP="00707B79">
      <w:pPr>
        <w:widowControl w:val="0"/>
        <w:autoSpaceDE w:val="0"/>
        <w:autoSpaceDN w:val="0"/>
        <w:adjustRightInd w:val="0"/>
        <w:spacing w:before="14" w:line="240" w:lineRule="exact"/>
        <w:jc w:val="center"/>
        <w:rPr>
          <w:b/>
          <w:bCs/>
          <w:sz w:val="24"/>
          <w:szCs w:val="24"/>
        </w:rPr>
      </w:pPr>
      <w:r w:rsidRPr="00873A76">
        <w:rPr>
          <w:b/>
          <w:bCs/>
          <w:sz w:val="24"/>
          <w:szCs w:val="24"/>
        </w:rPr>
        <w:t>Marché à procédure adaptée</w:t>
      </w:r>
    </w:p>
    <w:p w14:paraId="2966553F" w14:textId="77777777" w:rsidR="00B3398C" w:rsidRDefault="00B3398C">
      <w:pPr>
        <w:widowControl w:val="0"/>
        <w:autoSpaceDE w:val="0"/>
        <w:autoSpaceDN w:val="0"/>
        <w:adjustRightInd w:val="0"/>
        <w:spacing w:before="14" w:line="240" w:lineRule="exact"/>
        <w:rPr>
          <w:b/>
          <w:bCs/>
        </w:rPr>
      </w:pPr>
    </w:p>
    <w:p w14:paraId="55E127D4" w14:textId="77777777" w:rsidR="00B3398C" w:rsidRDefault="00B3398C">
      <w:pPr>
        <w:widowControl w:val="0"/>
        <w:autoSpaceDE w:val="0"/>
        <w:autoSpaceDN w:val="0"/>
        <w:adjustRightInd w:val="0"/>
        <w:spacing w:before="14" w:line="240" w:lineRule="exact"/>
        <w:jc w:val="center"/>
        <w:rPr>
          <w:rFonts w:ascii="Arial" w:hAnsi="Arial" w:cs="Arial"/>
          <w:bCs/>
        </w:rPr>
      </w:pPr>
      <w:r>
        <w:rPr>
          <w:rFonts w:ascii="Arial" w:hAnsi="Arial" w:cs="Arial"/>
          <w:bCs/>
        </w:rPr>
        <w:t>.</w:t>
      </w:r>
    </w:p>
    <w:p w14:paraId="39C1D6F8"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5C60B199"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048A1BB1" w14:textId="77777777" w:rsidR="00B3398C" w:rsidRDefault="00B3398C" w:rsidP="008630D8">
      <w:pPr>
        <w:jc w:val="center"/>
      </w:pPr>
    </w:p>
    <w:p w14:paraId="4155185D" w14:textId="0465EF7B" w:rsidR="00B3398C" w:rsidRPr="00873A76" w:rsidRDefault="00B3398C" w:rsidP="008630D8">
      <w:pPr>
        <w:pBdr>
          <w:top w:val="single" w:sz="4" w:space="1" w:color="auto"/>
          <w:left w:val="single" w:sz="4" w:space="4" w:color="auto"/>
          <w:bottom w:val="single" w:sz="4" w:space="1" w:color="auto"/>
          <w:right w:val="single" w:sz="4" w:space="4" w:color="auto"/>
        </w:pBdr>
        <w:jc w:val="center"/>
        <w:rPr>
          <w:rFonts w:ascii="AvenirNext LT Pro LightCn" w:hAnsi="AvenirNext LT Pro LightCn"/>
          <w:sz w:val="24"/>
          <w:szCs w:val="24"/>
        </w:rPr>
      </w:pPr>
      <w:r w:rsidRPr="00873A76">
        <w:rPr>
          <w:rFonts w:ascii="AvenirNext LT Pro LightCn" w:hAnsi="AvenirNext LT Pro LightCn"/>
          <w:sz w:val="24"/>
          <w:szCs w:val="24"/>
        </w:rPr>
        <w:t xml:space="preserve">Pouvoir Adjudicateur : </w:t>
      </w:r>
      <w:r w:rsidR="00E4467E" w:rsidRPr="00873A76">
        <w:rPr>
          <w:rFonts w:ascii="AvenirNext LT Pro LightCn" w:hAnsi="AvenirNext LT Pro LightCn"/>
          <w:sz w:val="24"/>
          <w:szCs w:val="24"/>
        </w:rPr>
        <w:t>INRAE</w:t>
      </w:r>
      <w:r w:rsidR="001D4D11" w:rsidRPr="00873A76">
        <w:rPr>
          <w:rFonts w:ascii="AvenirNext LT Pro LightCn" w:hAnsi="AvenirNext LT Pro LightCn"/>
          <w:sz w:val="24"/>
          <w:szCs w:val="24"/>
        </w:rPr>
        <w:t xml:space="preserve">, </w:t>
      </w:r>
      <w:r w:rsidR="00105764" w:rsidRPr="00873A76">
        <w:rPr>
          <w:rFonts w:ascii="AvenirNext LT Pro LightCn" w:hAnsi="AvenirNext LT Pro LightCn"/>
          <w:sz w:val="24"/>
          <w:szCs w:val="24"/>
        </w:rPr>
        <w:t xml:space="preserve">CENTRE </w:t>
      </w:r>
      <w:r w:rsidR="00873A76" w:rsidRPr="00873A76">
        <w:rPr>
          <w:rFonts w:ascii="AvenirNext LT Pro LightCn" w:hAnsi="AvenirNext LT Pro LightCn"/>
          <w:sz w:val="24"/>
          <w:szCs w:val="24"/>
        </w:rPr>
        <w:t xml:space="preserve">de </w:t>
      </w:r>
      <w:r w:rsidR="00105764" w:rsidRPr="00873A76">
        <w:rPr>
          <w:rFonts w:ascii="AvenirNext LT Pro LightCn" w:hAnsi="AvenirNext LT Pro LightCn"/>
          <w:sz w:val="24"/>
          <w:szCs w:val="24"/>
        </w:rPr>
        <w:t>Nouvelle-Aquitaine-Poitiers</w:t>
      </w:r>
    </w:p>
    <w:p w14:paraId="78947110" w14:textId="5F7D10F4" w:rsidR="00B3398C" w:rsidRPr="00873A76" w:rsidRDefault="00105764"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venirNext LT Pro LightCn" w:hAnsi="AvenirNext LT Pro LightCn" w:cs="Arial"/>
          <w:bCs/>
          <w:sz w:val="24"/>
          <w:szCs w:val="24"/>
        </w:rPr>
      </w:pPr>
      <w:r w:rsidRPr="00873A76">
        <w:rPr>
          <w:rFonts w:ascii="AvenirNext LT Pro LightCn" w:hAnsi="AvenirNext LT Pro LightCn" w:cs="Arial"/>
          <w:bCs/>
          <w:sz w:val="24"/>
          <w:szCs w:val="24"/>
        </w:rPr>
        <w:t>RD 150 – LE CHENE – CS</w:t>
      </w:r>
      <w:r w:rsidR="0041197F" w:rsidRPr="00873A76">
        <w:rPr>
          <w:rFonts w:ascii="AvenirNext LT Pro LightCn" w:hAnsi="AvenirNext LT Pro LightCn" w:cs="Arial"/>
          <w:bCs/>
          <w:sz w:val="24"/>
          <w:szCs w:val="24"/>
        </w:rPr>
        <w:t xml:space="preserve"> </w:t>
      </w:r>
      <w:r w:rsidRPr="00873A76">
        <w:rPr>
          <w:rFonts w:ascii="AvenirNext LT Pro LightCn" w:hAnsi="AvenirNext LT Pro LightCn" w:cs="Arial"/>
          <w:bCs/>
          <w:sz w:val="24"/>
          <w:szCs w:val="24"/>
        </w:rPr>
        <w:t>800</w:t>
      </w:r>
      <w:r w:rsidR="00B3202D" w:rsidRPr="00873A76">
        <w:rPr>
          <w:rFonts w:ascii="AvenirNext LT Pro LightCn" w:hAnsi="AvenirNext LT Pro LightCn" w:cs="Arial"/>
          <w:bCs/>
          <w:sz w:val="24"/>
          <w:szCs w:val="24"/>
        </w:rPr>
        <w:t>0</w:t>
      </w:r>
      <w:r w:rsidRPr="00873A76">
        <w:rPr>
          <w:rFonts w:ascii="AvenirNext LT Pro LightCn" w:hAnsi="AvenirNext LT Pro LightCn" w:cs="Arial"/>
          <w:bCs/>
          <w:sz w:val="24"/>
          <w:szCs w:val="24"/>
        </w:rPr>
        <w:t>6</w:t>
      </w:r>
    </w:p>
    <w:p w14:paraId="71C26560" w14:textId="77777777" w:rsidR="00105764" w:rsidRPr="00873A76" w:rsidRDefault="00105764"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ascii="AvenirNext LT Pro LightCn" w:hAnsi="AvenirNext LT Pro LightCn" w:cs="Arial"/>
          <w:bCs/>
          <w:sz w:val="24"/>
          <w:szCs w:val="24"/>
        </w:rPr>
      </w:pPr>
      <w:r w:rsidRPr="00873A76">
        <w:rPr>
          <w:rFonts w:ascii="AvenirNext LT Pro LightCn" w:hAnsi="AvenirNext LT Pro LightCn" w:cs="Arial"/>
          <w:bCs/>
          <w:sz w:val="24"/>
          <w:szCs w:val="24"/>
        </w:rPr>
        <w:t>86600 LUSIGNAN</w:t>
      </w:r>
    </w:p>
    <w:p w14:paraId="345A66DC"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0B28DF8A" w14:textId="77777777" w:rsidR="00B3398C" w:rsidRPr="008630D8" w:rsidRDefault="00460E17" w:rsidP="008630D8">
      <w:pPr>
        <w:rPr>
          <w:b/>
          <w:bCs/>
        </w:rPr>
      </w:pPr>
      <w:r>
        <w:br w:type="page"/>
      </w:r>
      <w:r w:rsidR="00B3398C" w:rsidRPr="008630D8">
        <w:rPr>
          <w:b/>
        </w:rPr>
        <w:lastRenderedPageBreak/>
        <w:t>Le Titulaire</w:t>
      </w:r>
    </w:p>
    <w:p w14:paraId="3A146DE6"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3CC8F64F" w14:textId="77777777" w:rsidR="00B3398C" w:rsidRPr="003C2E90" w:rsidRDefault="00B3398C" w:rsidP="008630D8">
      <w:r w:rsidRPr="003C2E90">
        <w:t xml:space="preserve">Agissant pour le compte de : </w:t>
      </w:r>
      <w:r w:rsidR="00260443">
        <w:t>……………………</w:t>
      </w:r>
    </w:p>
    <w:p w14:paraId="049E01CE" w14:textId="77777777" w:rsidR="00B3398C" w:rsidRPr="003C2E90" w:rsidRDefault="00B3398C" w:rsidP="008630D8">
      <w:r w:rsidRPr="003C2E90">
        <w:t xml:space="preserve">Forme juridique : </w:t>
      </w:r>
      <w:r w:rsidR="00260443">
        <w:t>………………………………….</w:t>
      </w:r>
    </w:p>
    <w:p w14:paraId="3CB7EBCA" w14:textId="77777777" w:rsidR="00B3398C" w:rsidRPr="003C2E90" w:rsidRDefault="00B3398C" w:rsidP="008630D8">
      <w:r w:rsidRPr="003C2E90">
        <w:t xml:space="preserve">Capital social : </w:t>
      </w:r>
      <w:r w:rsidR="00260443">
        <w:t>…………………………………….</w:t>
      </w:r>
    </w:p>
    <w:p w14:paraId="76DD87CF"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2BB011D4" w14:textId="77777777" w:rsidR="00B3398C" w:rsidRPr="003C2E90" w:rsidRDefault="00B3398C" w:rsidP="008630D8">
      <w:r w:rsidRPr="003C2E90">
        <w:t xml:space="preserve">Tél. : </w:t>
      </w:r>
      <w:r w:rsidR="00260443">
        <w:t>………………………</w:t>
      </w:r>
    </w:p>
    <w:p w14:paraId="1CA8AEC9" w14:textId="77777777" w:rsidR="008630D8" w:rsidRDefault="008630D8" w:rsidP="008630D8"/>
    <w:p w14:paraId="0E46146A" w14:textId="77777777" w:rsidR="00B3398C" w:rsidRPr="003C2E90" w:rsidRDefault="00B3398C" w:rsidP="008630D8">
      <w:r w:rsidRPr="003C2E90">
        <w:t>Immatriculation à l’INSEE</w:t>
      </w:r>
    </w:p>
    <w:p w14:paraId="3189CD3F"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0E93C035"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55416E52"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4A321B0D" w14:textId="77777777" w:rsidR="00B3398C" w:rsidRPr="003C2E90" w:rsidRDefault="00B3398C" w:rsidP="008630D8"/>
    <w:p w14:paraId="7F44A4B3"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076F6536"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578A7799" w14:textId="77777777" w:rsidR="00B3398C" w:rsidRPr="003C2E90" w:rsidRDefault="00B3398C" w:rsidP="008630D8"/>
    <w:p w14:paraId="761AFE26" w14:textId="0AA3CFC7" w:rsidR="00B3398C" w:rsidRPr="008630D8" w:rsidRDefault="00B3398C" w:rsidP="008630D8">
      <w:r w:rsidRPr="003C2E90">
        <w:t xml:space="preserve">L’offre, ainsi présentée ne me lie toutefois que si son acceptation m’est notifiée dans le délai de </w:t>
      </w:r>
      <w:r w:rsidR="00105764" w:rsidRPr="002C0612">
        <w:t xml:space="preserve">90 jours </w:t>
      </w:r>
      <w:r w:rsidRPr="002C0612">
        <w:t xml:space="preserve">à compter </w:t>
      </w:r>
      <w:r w:rsidRPr="008630D8">
        <w:t xml:space="preserve">de la date </w:t>
      </w:r>
      <w:r w:rsidR="00B152C6" w:rsidRPr="008630D8">
        <w:t>limite de remise des</w:t>
      </w:r>
      <w:r w:rsidR="00B152C6">
        <w:t xml:space="preserve"> plis</w:t>
      </w:r>
      <w:r w:rsidR="00177F31" w:rsidRPr="00177F31">
        <w:t>.</w:t>
      </w:r>
    </w:p>
    <w:p w14:paraId="0494E248" w14:textId="77777777" w:rsidR="008630D8" w:rsidRDefault="008630D8" w:rsidP="008630D8">
      <w:pPr>
        <w:rPr>
          <w:rFonts w:cs="Arial"/>
          <w:b/>
        </w:rPr>
      </w:pPr>
    </w:p>
    <w:p w14:paraId="5EB99BFA" w14:textId="77777777" w:rsidR="00B3398C" w:rsidRDefault="00B3398C" w:rsidP="008630D8">
      <w:pPr>
        <w:rPr>
          <w:rFonts w:cs="Arial"/>
          <w:b/>
        </w:rPr>
      </w:pPr>
      <w:r w:rsidRPr="008630D8">
        <w:rPr>
          <w:rFonts w:cs="Arial"/>
          <w:b/>
        </w:rPr>
        <w:t>Fait à ………………… le ……………</w:t>
      </w:r>
      <w:proofErr w:type="gramStart"/>
      <w:r w:rsidRPr="008630D8">
        <w:rPr>
          <w:rFonts w:cs="Arial"/>
          <w:b/>
        </w:rPr>
        <w:t>…….</w:t>
      </w:r>
      <w:proofErr w:type="gramEnd"/>
      <w:r w:rsidRPr="008630D8">
        <w:rPr>
          <w:rFonts w:cs="Arial"/>
          <w:b/>
        </w:rPr>
        <w:t>.</w:t>
      </w:r>
      <w:r w:rsidRPr="008630D8">
        <w:rPr>
          <w:rStyle w:val="Appelnotedebasdep"/>
          <w:rFonts w:cs="Arial"/>
          <w:b/>
          <w:color w:val="000000"/>
        </w:rPr>
        <w:footnoteReference w:id="1"/>
      </w:r>
    </w:p>
    <w:p w14:paraId="11A1AC07" w14:textId="77777777" w:rsidR="00E37210" w:rsidRPr="00E37210" w:rsidRDefault="00E37210" w:rsidP="008630D8">
      <w:r w:rsidRPr="00E37210">
        <w:t>Le titulaire</w:t>
      </w:r>
      <w:r w:rsidRPr="00E37210">
        <w:rPr>
          <w:rStyle w:val="Appelnotedebasdep"/>
          <w:rFonts w:ascii="Arial" w:hAnsi="Arial" w:cs="Arial"/>
        </w:rPr>
        <w:footnoteReference w:id="2"/>
      </w:r>
    </w:p>
    <w:p w14:paraId="025132BB" w14:textId="77777777" w:rsidR="00E37210" w:rsidRPr="00E37210" w:rsidRDefault="00E37210" w:rsidP="008630D8">
      <w:proofErr w:type="gramStart"/>
      <w:r w:rsidRPr="00E37210">
        <w:t>ne</w:t>
      </w:r>
      <w:proofErr w:type="gramEnd"/>
      <w:r w:rsidRPr="00E37210">
        <w:t xml:space="preserve"> refuse pas de percevoi</w:t>
      </w:r>
      <w:r>
        <w:t xml:space="preserve">r l’avance prévue à l’article </w:t>
      </w:r>
      <w:r w:rsidR="00B51FA9">
        <w:t>8</w:t>
      </w:r>
      <w:r>
        <w:t xml:space="preserve"> </w:t>
      </w:r>
      <w:r w:rsidRPr="00E37210">
        <w:t>du</w:t>
      </w:r>
      <w:r>
        <w:t xml:space="preserve"> présent document</w:t>
      </w:r>
      <w:r w:rsidRPr="00E37210">
        <w:t>.</w:t>
      </w:r>
    </w:p>
    <w:p w14:paraId="0013ED87" w14:textId="77777777" w:rsidR="00E37210" w:rsidRDefault="00E37210" w:rsidP="008630D8">
      <w:pPr>
        <w:pBdr>
          <w:bottom w:val="single" w:sz="12" w:space="1" w:color="auto"/>
        </w:pBdr>
      </w:pPr>
      <w:proofErr w:type="gramStart"/>
      <w:r w:rsidRPr="00E37210">
        <w:t>refuse</w:t>
      </w:r>
      <w:proofErr w:type="gramEnd"/>
      <w:r w:rsidRPr="00E37210">
        <w:t xml:space="preserve"> de percevoi</w:t>
      </w:r>
      <w:r>
        <w:t xml:space="preserve">r l’avance prévue à l’article </w:t>
      </w:r>
      <w:r w:rsidR="00B51FA9">
        <w:t>8</w:t>
      </w:r>
      <w:r w:rsidRPr="00E37210">
        <w:t xml:space="preserve"> du </w:t>
      </w:r>
      <w:r>
        <w:t>présent document</w:t>
      </w:r>
      <w:r w:rsidRPr="00E37210">
        <w:t xml:space="preserve">. </w:t>
      </w:r>
    </w:p>
    <w:p w14:paraId="178C135D" w14:textId="77777777" w:rsidR="008630D8" w:rsidRPr="00E37210" w:rsidRDefault="008630D8" w:rsidP="008630D8">
      <w:pPr>
        <w:pBdr>
          <w:bottom w:val="single" w:sz="12" w:space="1" w:color="auto"/>
        </w:pBdr>
      </w:pPr>
    </w:p>
    <w:p w14:paraId="73CF8D8D" w14:textId="77777777" w:rsidR="008630D8" w:rsidRPr="003C2E90" w:rsidRDefault="008630D8" w:rsidP="008630D8"/>
    <w:p w14:paraId="7C7640FC" w14:textId="4B0B9809" w:rsidR="00DA08FD" w:rsidRPr="00911DB8" w:rsidRDefault="00E4467E" w:rsidP="008630D8">
      <w:pPr>
        <w:rPr>
          <w:b/>
        </w:rPr>
      </w:pPr>
      <w:r>
        <w:rPr>
          <w:b/>
        </w:rPr>
        <w:t>INRAE</w:t>
      </w:r>
      <w:r w:rsidR="00B3398C" w:rsidRPr="003C2E90">
        <w:rPr>
          <w:b/>
        </w:rPr>
        <w:t>,</w:t>
      </w:r>
    </w:p>
    <w:p w14:paraId="5FA7F536" w14:textId="77777777" w:rsidR="00B3398C" w:rsidRPr="003C2E90" w:rsidRDefault="00B3398C" w:rsidP="008630D8">
      <w:r w:rsidRPr="003C2E90">
        <w:t xml:space="preserve">Est acceptée la présente offre </w:t>
      </w:r>
      <w:r w:rsidR="00911DB8">
        <w:t>pour valoir Acte d’Engagement.</w:t>
      </w:r>
    </w:p>
    <w:p w14:paraId="49770796" w14:textId="77777777" w:rsidR="00B3398C" w:rsidRPr="003C2E90" w:rsidRDefault="00B3398C" w:rsidP="008630D8">
      <w:r w:rsidRPr="003C2E90">
        <w:t>L</w:t>
      </w:r>
      <w:r w:rsidR="00F84DE2">
        <w:t>e</w:t>
      </w:r>
      <w:r w:rsidRPr="003C2E90">
        <w:t xml:space="preserve"> </w:t>
      </w:r>
      <w:r w:rsidR="001B75C4">
        <w:t>Représentant du Pouvoir Adjudicateur</w:t>
      </w:r>
    </w:p>
    <w:p w14:paraId="766ADFB4" w14:textId="77777777" w:rsidR="00DA08FD" w:rsidRDefault="00105764" w:rsidP="00177F31">
      <w:r>
        <w:t>Le Président de Centre</w:t>
      </w:r>
    </w:p>
    <w:p w14:paraId="6B081698" w14:textId="77777777" w:rsidR="002F1D49" w:rsidRDefault="00DA08FD" w:rsidP="001B75C4">
      <w:pPr>
        <w:pStyle w:val="TM2"/>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3057BAA2" w14:textId="591FD5BE"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2" w:history="1">
        <w:r w:rsidR="002F1D49" w:rsidRPr="00676B46">
          <w:rPr>
            <w:rStyle w:val="Lienhypertexte"/>
            <w:i/>
            <w:iCs/>
            <w:noProof/>
          </w:rPr>
          <w:t>1.</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OBJET</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_Toc210818852 \h </w:instrText>
        </w:r>
        <w:r w:rsidR="002F1D49" w:rsidRPr="00676B46">
          <w:rPr>
            <w:noProof/>
            <w:webHidden/>
          </w:rPr>
        </w:r>
        <w:r w:rsidR="002F1D49" w:rsidRPr="00676B46">
          <w:rPr>
            <w:noProof/>
            <w:webHidden/>
          </w:rPr>
          <w:fldChar w:fldCharType="separate"/>
        </w:r>
        <w:r w:rsidR="002F1D49" w:rsidRPr="00676B46">
          <w:rPr>
            <w:noProof/>
            <w:webHidden/>
          </w:rPr>
          <w:t>4</w:t>
        </w:r>
        <w:r w:rsidR="002F1D49" w:rsidRPr="00676B46">
          <w:rPr>
            <w:noProof/>
            <w:webHidden/>
          </w:rPr>
          <w:fldChar w:fldCharType="end"/>
        </w:r>
      </w:hyperlink>
    </w:p>
    <w:p w14:paraId="309FA49B" w14:textId="0B7BF2F9"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3" w:history="1">
        <w:r w:rsidR="002F1D49" w:rsidRPr="00676B46">
          <w:rPr>
            <w:rStyle w:val="Lienhypertexte"/>
            <w:i/>
            <w:iCs/>
            <w:noProof/>
          </w:rPr>
          <w:t>2.</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PIÈCES CONTRACTUELLES DU MARCHÉ</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_Toc210818853 \h </w:instrText>
        </w:r>
        <w:r w:rsidR="002F1D49" w:rsidRPr="00676B46">
          <w:rPr>
            <w:noProof/>
            <w:webHidden/>
          </w:rPr>
        </w:r>
        <w:r w:rsidR="002F1D49" w:rsidRPr="00676B46">
          <w:rPr>
            <w:noProof/>
            <w:webHidden/>
          </w:rPr>
          <w:fldChar w:fldCharType="separate"/>
        </w:r>
        <w:r w:rsidR="002F1D49" w:rsidRPr="00676B46">
          <w:rPr>
            <w:noProof/>
            <w:webHidden/>
          </w:rPr>
          <w:t>4</w:t>
        </w:r>
        <w:r w:rsidR="002F1D49" w:rsidRPr="00676B46">
          <w:rPr>
            <w:noProof/>
            <w:webHidden/>
          </w:rPr>
          <w:fldChar w:fldCharType="end"/>
        </w:r>
      </w:hyperlink>
    </w:p>
    <w:p w14:paraId="777A9A48" w14:textId="2646724A"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4" w:history="1">
        <w:r w:rsidR="002F1D49" w:rsidRPr="00676B46">
          <w:rPr>
            <w:rStyle w:val="Lienhypertexte"/>
            <w:i/>
            <w:iCs/>
            <w:noProof/>
          </w:rPr>
          <w:t>3.</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CONTENU DES PRESTATIONS</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_Toc210818854 \h </w:instrText>
        </w:r>
        <w:r w:rsidR="002F1D49" w:rsidRPr="00676B46">
          <w:rPr>
            <w:noProof/>
            <w:webHidden/>
          </w:rPr>
        </w:r>
        <w:r w:rsidR="002F1D49" w:rsidRPr="00676B46">
          <w:rPr>
            <w:noProof/>
            <w:webHidden/>
          </w:rPr>
          <w:fldChar w:fldCharType="separate"/>
        </w:r>
        <w:r w:rsidR="002F1D49" w:rsidRPr="00676B46">
          <w:rPr>
            <w:noProof/>
            <w:webHidden/>
          </w:rPr>
          <w:t>4</w:t>
        </w:r>
        <w:r w:rsidR="002F1D49" w:rsidRPr="00676B46">
          <w:rPr>
            <w:noProof/>
            <w:webHidden/>
          </w:rPr>
          <w:fldChar w:fldCharType="end"/>
        </w:r>
      </w:hyperlink>
    </w:p>
    <w:p w14:paraId="357DC367" w14:textId="76EA04D6"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5" w:history="1">
        <w:r w:rsidR="002F1D49" w:rsidRPr="00676B46">
          <w:rPr>
            <w:rStyle w:val="Lienhypertexte"/>
            <w:i/>
            <w:iCs/>
            <w:noProof/>
          </w:rPr>
          <w:t>4.</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DURÉE DU MARCHÉ (OU DÉLAI(S) D’EXÉCUTION DU MARCHÉ)</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_Toc210818855 \h </w:instrText>
        </w:r>
        <w:r w:rsidR="002F1D49" w:rsidRPr="00676B46">
          <w:rPr>
            <w:noProof/>
            <w:webHidden/>
          </w:rPr>
        </w:r>
        <w:r w:rsidR="002F1D49" w:rsidRPr="00676B46">
          <w:rPr>
            <w:noProof/>
            <w:webHidden/>
          </w:rPr>
          <w:fldChar w:fldCharType="separate"/>
        </w:r>
        <w:r w:rsidR="002F1D49" w:rsidRPr="00676B46">
          <w:rPr>
            <w:noProof/>
            <w:webHidden/>
          </w:rPr>
          <w:t>4</w:t>
        </w:r>
        <w:r w:rsidR="002F1D49" w:rsidRPr="00676B46">
          <w:rPr>
            <w:noProof/>
            <w:webHidden/>
          </w:rPr>
          <w:fldChar w:fldCharType="end"/>
        </w:r>
      </w:hyperlink>
    </w:p>
    <w:p w14:paraId="34BE1B03" w14:textId="79C43A0B"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6" w:history="1">
        <w:r w:rsidR="002F1D49" w:rsidRPr="00676B46">
          <w:rPr>
            <w:rStyle w:val="Lienhypertexte"/>
            <w:noProof/>
          </w:rPr>
          <w:t>5.</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VÉRIFICATION ET ADMISSION DES FOURNITURES OU DES PRESTATIONS</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_Toc210818856 \h </w:instrText>
        </w:r>
        <w:r w:rsidR="002F1D49" w:rsidRPr="00676B46">
          <w:rPr>
            <w:noProof/>
            <w:webHidden/>
          </w:rPr>
        </w:r>
        <w:r w:rsidR="002F1D49" w:rsidRPr="00676B46">
          <w:rPr>
            <w:noProof/>
            <w:webHidden/>
          </w:rPr>
          <w:fldChar w:fldCharType="separate"/>
        </w:r>
        <w:r w:rsidR="002F1D49" w:rsidRPr="00676B46">
          <w:rPr>
            <w:noProof/>
            <w:webHidden/>
          </w:rPr>
          <w:t>5</w:t>
        </w:r>
        <w:r w:rsidR="002F1D49" w:rsidRPr="00676B46">
          <w:rPr>
            <w:noProof/>
            <w:webHidden/>
          </w:rPr>
          <w:fldChar w:fldCharType="end"/>
        </w:r>
      </w:hyperlink>
    </w:p>
    <w:p w14:paraId="7C1F1EB3" w14:textId="117D90F5"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7" w:history="1">
        <w:r w:rsidR="002F1D49" w:rsidRPr="00676B46">
          <w:rPr>
            <w:rStyle w:val="Lienhypertexte"/>
            <w:noProof/>
          </w:rPr>
          <w:t>6.</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ZONES À R</w:t>
        </w:r>
        <w:r w:rsidR="002F1D49" w:rsidRPr="00676B46">
          <w:rPr>
            <w:rStyle w:val="Lienhypertexte"/>
            <w:rFonts w:ascii="Segoe UI Symbol" w:hAnsi="Segoe UI Symbol"/>
            <w:noProof/>
          </w:rPr>
          <w:t>É</w:t>
        </w:r>
        <w:r w:rsidR="002F1D49" w:rsidRPr="00676B46">
          <w:rPr>
            <w:rStyle w:val="Lienhypertexte"/>
            <w:noProof/>
          </w:rPr>
          <w:t>GIME RESTRICTIF (ZRR)</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_Toc210818857 \h </w:instrText>
        </w:r>
        <w:r w:rsidR="002F1D49" w:rsidRPr="00676B46">
          <w:rPr>
            <w:noProof/>
            <w:webHidden/>
          </w:rPr>
        </w:r>
        <w:r w:rsidR="002F1D49" w:rsidRPr="00676B46">
          <w:rPr>
            <w:noProof/>
            <w:webHidden/>
          </w:rPr>
          <w:fldChar w:fldCharType="separate"/>
        </w:r>
        <w:r w:rsidR="002F1D49" w:rsidRPr="00676B46">
          <w:rPr>
            <w:noProof/>
            <w:webHidden/>
          </w:rPr>
          <w:t>5</w:t>
        </w:r>
        <w:r w:rsidR="002F1D49" w:rsidRPr="00676B46">
          <w:rPr>
            <w:noProof/>
            <w:webHidden/>
          </w:rPr>
          <w:fldChar w:fldCharType="end"/>
        </w:r>
      </w:hyperlink>
    </w:p>
    <w:p w14:paraId="50E9A659" w14:textId="40DB7ABA"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58" w:history="1">
        <w:r w:rsidR="002F1D49" w:rsidRPr="00676B46">
          <w:rPr>
            <w:rStyle w:val="Lienhypertexte"/>
            <w:noProof/>
          </w:rPr>
          <w:t>7.</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PRIX ET MODALITÉS DE PAIEMENTS</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_Toc210818858 \h </w:instrText>
        </w:r>
        <w:r w:rsidR="002F1D49" w:rsidRPr="00676B46">
          <w:rPr>
            <w:noProof/>
            <w:webHidden/>
          </w:rPr>
        </w:r>
        <w:r w:rsidR="002F1D49" w:rsidRPr="00676B46">
          <w:rPr>
            <w:noProof/>
            <w:webHidden/>
          </w:rPr>
          <w:fldChar w:fldCharType="separate"/>
        </w:r>
        <w:r w:rsidR="002F1D49" w:rsidRPr="00676B46">
          <w:rPr>
            <w:noProof/>
            <w:webHidden/>
          </w:rPr>
          <w:t>5</w:t>
        </w:r>
        <w:r w:rsidR="002F1D49" w:rsidRPr="00676B46">
          <w:rPr>
            <w:noProof/>
            <w:webHidden/>
          </w:rPr>
          <w:fldChar w:fldCharType="end"/>
        </w:r>
      </w:hyperlink>
    </w:p>
    <w:p w14:paraId="2E9F7EC6" w14:textId="0AFB179A" w:rsidR="002F1D49" w:rsidRPr="00676B46" w:rsidRDefault="007415C4">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0818859" w:history="1">
        <w:r w:rsidR="002F1D49" w:rsidRPr="00676B46">
          <w:rPr>
            <w:rStyle w:val="Lienhypertexte"/>
            <w:noProof/>
          </w:rPr>
          <w:t>7.1.</w:t>
        </w:r>
        <w:r w:rsidR="002F1D49" w:rsidRPr="00676B46">
          <w:rPr>
            <w:rFonts w:asciiTheme="minorHAnsi" w:eastAsiaTheme="minorEastAsia" w:hAnsiTheme="minorHAnsi" w:cstheme="minorBidi"/>
            <w:noProof/>
            <w:kern w:val="2"/>
            <w:sz w:val="24"/>
            <w:szCs w:val="24"/>
            <w:lang w:eastAsia="fr-FR"/>
            <w14:ligatures w14:val="standardContextual"/>
          </w:rPr>
          <w:tab/>
        </w:r>
        <w:r w:rsidR="002F1D49" w:rsidRPr="00676B46">
          <w:rPr>
            <w:rStyle w:val="Lienhypertexte"/>
            <w:noProof/>
          </w:rPr>
          <w:t>Prix du marché</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_Toc210818859 \h </w:instrText>
        </w:r>
        <w:r w:rsidR="002F1D49" w:rsidRPr="00676B46">
          <w:rPr>
            <w:noProof/>
            <w:webHidden/>
          </w:rPr>
        </w:r>
        <w:r w:rsidR="002F1D49" w:rsidRPr="00676B46">
          <w:rPr>
            <w:noProof/>
            <w:webHidden/>
          </w:rPr>
          <w:fldChar w:fldCharType="separate"/>
        </w:r>
        <w:r w:rsidR="002F1D49" w:rsidRPr="00676B46">
          <w:rPr>
            <w:noProof/>
            <w:webHidden/>
          </w:rPr>
          <w:t>5</w:t>
        </w:r>
        <w:r w:rsidR="002F1D49" w:rsidRPr="00676B46">
          <w:rPr>
            <w:noProof/>
            <w:webHidden/>
          </w:rPr>
          <w:fldChar w:fldCharType="end"/>
        </w:r>
      </w:hyperlink>
    </w:p>
    <w:p w14:paraId="37CF2E9F" w14:textId="42E20F30" w:rsidR="002F1D49" w:rsidRPr="00676B46" w:rsidRDefault="007415C4">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0818860" w:history="1">
        <w:r w:rsidR="002F1D49" w:rsidRPr="00676B46">
          <w:rPr>
            <w:rStyle w:val="Lienhypertexte"/>
            <w:noProof/>
          </w:rPr>
          <w:t>7.2.</w:t>
        </w:r>
        <w:r w:rsidR="002F1D49" w:rsidRPr="00676B46">
          <w:rPr>
            <w:rFonts w:asciiTheme="minorHAnsi" w:eastAsiaTheme="minorEastAsia" w:hAnsiTheme="minorHAnsi" w:cstheme="minorBidi"/>
            <w:noProof/>
            <w:kern w:val="2"/>
            <w:sz w:val="24"/>
            <w:szCs w:val="24"/>
            <w:lang w:eastAsia="fr-FR"/>
            <w14:ligatures w14:val="standardContextual"/>
          </w:rPr>
          <w:tab/>
        </w:r>
        <w:r w:rsidR="002F1D49" w:rsidRPr="00676B46">
          <w:rPr>
            <w:rStyle w:val="Lienhypertexte"/>
            <w:noProof/>
          </w:rPr>
          <w:t>Echéancier de paiement</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_Toc210818860 \h </w:instrText>
        </w:r>
        <w:r w:rsidR="002F1D49" w:rsidRPr="00676B46">
          <w:rPr>
            <w:noProof/>
            <w:webHidden/>
          </w:rPr>
        </w:r>
        <w:r w:rsidR="002F1D49" w:rsidRPr="00676B46">
          <w:rPr>
            <w:noProof/>
            <w:webHidden/>
          </w:rPr>
          <w:fldChar w:fldCharType="separate"/>
        </w:r>
        <w:r w:rsidR="002F1D49" w:rsidRPr="00676B46">
          <w:rPr>
            <w:noProof/>
            <w:webHidden/>
          </w:rPr>
          <w:t>5</w:t>
        </w:r>
        <w:r w:rsidR="002F1D49" w:rsidRPr="00676B46">
          <w:rPr>
            <w:noProof/>
            <w:webHidden/>
          </w:rPr>
          <w:fldChar w:fldCharType="end"/>
        </w:r>
      </w:hyperlink>
    </w:p>
    <w:p w14:paraId="223C688C" w14:textId="281ADC96" w:rsidR="002F1D49" w:rsidRPr="00676B46" w:rsidRDefault="007415C4">
      <w:pPr>
        <w:pStyle w:val="TM2"/>
        <w:tabs>
          <w:tab w:val="left" w:pos="720"/>
        </w:tabs>
        <w:rPr>
          <w:rFonts w:asciiTheme="minorHAnsi" w:eastAsiaTheme="minorEastAsia" w:hAnsiTheme="minorHAnsi" w:cstheme="minorBidi"/>
          <w:noProof/>
          <w:kern w:val="2"/>
          <w:sz w:val="24"/>
          <w:szCs w:val="24"/>
          <w:lang w:eastAsia="fr-FR"/>
          <w14:ligatures w14:val="standardContextual"/>
        </w:rPr>
      </w:pPr>
      <w:hyperlink w:anchor="_Toc210818861" w:history="1">
        <w:r w:rsidR="002F1D49" w:rsidRPr="00676B46">
          <w:rPr>
            <w:rStyle w:val="Lienhypertexte"/>
            <w:noProof/>
          </w:rPr>
          <w:t>7.3.</w:t>
        </w:r>
        <w:r w:rsidR="002F1D49" w:rsidRPr="00676B46">
          <w:rPr>
            <w:rFonts w:asciiTheme="minorHAnsi" w:eastAsiaTheme="minorEastAsia" w:hAnsiTheme="minorHAnsi" w:cstheme="minorBidi"/>
            <w:noProof/>
            <w:kern w:val="2"/>
            <w:sz w:val="24"/>
            <w:szCs w:val="24"/>
            <w:lang w:eastAsia="fr-FR"/>
            <w14:ligatures w14:val="standardContextual"/>
          </w:rPr>
          <w:tab/>
        </w:r>
        <w:r w:rsidR="002F1D49" w:rsidRPr="00676B46">
          <w:rPr>
            <w:rStyle w:val="Lienhypertexte"/>
            <w:noProof/>
          </w:rPr>
          <w:t>Modalités de paiement</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_Toc210818861 \h </w:instrText>
        </w:r>
        <w:r w:rsidR="002F1D49" w:rsidRPr="00676B46">
          <w:rPr>
            <w:noProof/>
            <w:webHidden/>
          </w:rPr>
        </w:r>
        <w:r w:rsidR="002F1D49" w:rsidRPr="00676B46">
          <w:rPr>
            <w:noProof/>
            <w:webHidden/>
          </w:rPr>
          <w:fldChar w:fldCharType="separate"/>
        </w:r>
        <w:r w:rsidR="002F1D49" w:rsidRPr="00676B46">
          <w:rPr>
            <w:noProof/>
            <w:webHidden/>
          </w:rPr>
          <w:t>6</w:t>
        </w:r>
        <w:r w:rsidR="002F1D49" w:rsidRPr="00676B46">
          <w:rPr>
            <w:noProof/>
            <w:webHidden/>
          </w:rPr>
          <w:fldChar w:fldCharType="end"/>
        </w:r>
      </w:hyperlink>
    </w:p>
    <w:p w14:paraId="02839416" w14:textId="1FDE9549"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62" w:history="1">
        <w:r w:rsidR="002F1D49" w:rsidRPr="00676B46">
          <w:rPr>
            <w:rStyle w:val="Lienhypertexte"/>
            <w:i/>
            <w:iCs/>
            <w:noProof/>
          </w:rPr>
          <w:t>8.</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AVANCE</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_Toc210818862 \h </w:instrText>
        </w:r>
        <w:r w:rsidR="002F1D49" w:rsidRPr="00676B46">
          <w:rPr>
            <w:noProof/>
            <w:webHidden/>
          </w:rPr>
        </w:r>
        <w:r w:rsidR="002F1D49" w:rsidRPr="00676B46">
          <w:rPr>
            <w:noProof/>
            <w:webHidden/>
          </w:rPr>
          <w:fldChar w:fldCharType="separate"/>
        </w:r>
        <w:r w:rsidR="002F1D49" w:rsidRPr="00676B46">
          <w:rPr>
            <w:noProof/>
            <w:webHidden/>
          </w:rPr>
          <w:t>7</w:t>
        </w:r>
        <w:r w:rsidR="002F1D49" w:rsidRPr="00676B46">
          <w:rPr>
            <w:noProof/>
            <w:webHidden/>
          </w:rPr>
          <w:fldChar w:fldCharType="end"/>
        </w:r>
      </w:hyperlink>
    </w:p>
    <w:p w14:paraId="0CD4BF93" w14:textId="1EC6FE68" w:rsidR="002F1D49" w:rsidRPr="00676B46" w:rsidRDefault="007415C4">
      <w:pPr>
        <w:pStyle w:val="TM1"/>
        <w:tabs>
          <w:tab w:val="left" w:pos="480"/>
          <w:tab w:val="right" w:leader="dot" w:pos="9054"/>
        </w:tabs>
        <w:rPr>
          <w:rFonts w:asciiTheme="minorHAnsi" w:eastAsiaTheme="minorEastAsia" w:hAnsiTheme="minorHAnsi"/>
          <w:noProof/>
          <w:kern w:val="2"/>
          <w:sz w:val="24"/>
          <w:szCs w:val="24"/>
          <w:lang w:eastAsia="fr-FR"/>
          <w14:ligatures w14:val="standardContextual"/>
        </w:rPr>
      </w:pPr>
      <w:hyperlink w:anchor="_Toc210818863" w:history="1">
        <w:r w:rsidR="002F1D49" w:rsidRPr="00676B46">
          <w:rPr>
            <w:rStyle w:val="Lienhypertexte"/>
            <w:i/>
            <w:iCs/>
            <w:noProof/>
          </w:rPr>
          <w:t>9.</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PROPRIÉTÉ INTELLECTUELLE</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_Toc210818863 \h </w:instrText>
        </w:r>
        <w:r w:rsidR="002F1D49" w:rsidRPr="00676B46">
          <w:rPr>
            <w:noProof/>
            <w:webHidden/>
          </w:rPr>
        </w:r>
        <w:r w:rsidR="002F1D49" w:rsidRPr="00676B46">
          <w:rPr>
            <w:noProof/>
            <w:webHidden/>
          </w:rPr>
          <w:fldChar w:fldCharType="separate"/>
        </w:r>
        <w:r w:rsidR="002F1D49" w:rsidRPr="00676B46">
          <w:rPr>
            <w:noProof/>
            <w:webHidden/>
          </w:rPr>
          <w:t>7</w:t>
        </w:r>
        <w:r w:rsidR="002F1D49" w:rsidRPr="00676B46">
          <w:rPr>
            <w:noProof/>
            <w:webHidden/>
          </w:rPr>
          <w:fldChar w:fldCharType="end"/>
        </w:r>
      </w:hyperlink>
    </w:p>
    <w:p w14:paraId="58C62AFE" w14:textId="06D89A1C" w:rsidR="002F1D49" w:rsidRPr="00676B46" w:rsidRDefault="007415C4">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0818864" w:history="1">
        <w:r w:rsidR="002F1D49" w:rsidRPr="00676B46">
          <w:rPr>
            <w:rStyle w:val="Lienhypertexte"/>
            <w:iCs/>
            <w:noProof/>
          </w:rPr>
          <w:t>10.</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GARANTIE</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_Toc210818864 \h </w:instrText>
        </w:r>
        <w:r w:rsidR="002F1D49" w:rsidRPr="00676B46">
          <w:rPr>
            <w:noProof/>
            <w:webHidden/>
          </w:rPr>
        </w:r>
        <w:r w:rsidR="002F1D49" w:rsidRPr="00676B46">
          <w:rPr>
            <w:noProof/>
            <w:webHidden/>
          </w:rPr>
          <w:fldChar w:fldCharType="separate"/>
        </w:r>
        <w:r w:rsidR="002F1D49" w:rsidRPr="00676B46">
          <w:rPr>
            <w:noProof/>
            <w:webHidden/>
          </w:rPr>
          <w:t>7</w:t>
        </w:r>
        <w:r w:rsidR="002F1D49" w:rsidRPr="00676B46">
          <w:rPr>
            <w:noProof/>
            <w:webHidden/>
          </w:rPr>
          <w:fldChar w:fldCharType="end"/>
        </w:r>
      </w:hyperlink>
    </w:p>
    <w:p w14:paraId="456C32C6" w14:textId="695AC130" w:rsidR="002F1D49" w:rsidRPr="00676B46" w:rsidRDefault="007415C4">
      <w:pPr>
        <w:pStyle w:val="TM1"/>
        <w:tabs>
          <w:tab w:val="left" w:pos="720"/>
          <w:tab w:val="right" w:leader="dot" w:pos="9054"/>
        </w:tabs>
        <w:rPr>
          <w:rFonts w:asciiTheme="minorHAnsi" w:eastAsiaTheme="minorEastAsia" w:hAnsiTheme="minorHAnsi"/>
          <w:noProof/>
          <w:kern w:val="2"/>
          <w:sz w:val="24"/>
          <w:szCs w:val="24"/>
          <w:lang w:eastAsia="fr-FR"/>
          <w14:ligatures w14:val="standardContextual"/>
        </w:rPr>
      </w:pPr>
      <w:hyperlink w:anchor="_Toc210818865" w:history="1">
        <w:r w:rsidR="002F1D49" w:rsidRPr="00676B46">
          <w:rPr>
            <w:rStyle w:val="Lienhypertexte"/>
            <w:noProof/>
          </w:rPr>
          <w:t>11.</w:t>
        </w:r>
        <w:r w:rsidR="002F1D49" w:rsidRPr="00676B46">
          <w:rPr>
            <w:rFonts w:asciiTheme="minorHAnsi" w:eastAsiaTheme="minorEastAsia" w:hAnsiTheme="minorHAnsi"/>
            <w:noProof/>
            <w:kern w:val="2"/>
            <w:sz w:val="24"/>
            <w:szCs w:val="24"/>
            <w:lang w:eastAsia="fr-FR"/>
            <w14:ligatures w14:val="standardContextual"/>
          </w:rPr>
          <w:tab/>
        </w:r>
        <w:r w:rsidR="002F1D49" w:rsidRPr="00676B46">
          <w:rPr>
            <w:rStyle w:val="Lienhypertexte"/>
            <w:noProof/>
          </w:rPr>
          <w:t>LITIGES</w:t>
        </w:r>
        <w:r w:rsidR="002F1D49" w:rsidRPr="00676B46">
          <w:rPr>
            <w:noProof/>
            <w:webHidden/>
          </w:rPr>
          <w:tab/>
        </w:r>
        <w:r w:rsidR="002F1D49" w:rsidRPr="00676B46">
          <w:rPr>
            <w:noProof/>
            <w:webHidden/>
          </w:rPr>
          <w:fldChar w:fldCharType="begin"/>
        </w:r>
        <w:r w:rsidR="002F1D49" w:rsidRPr="00676B46">
          <w:rPr>
            <w:noProof/>
            <w:webHidden/>
          </w:rPr>
          <w:instrText xml:space="preserve"> PAGEREF _Toc210818865 \h </w:instrText>
        </w:r>
        <w:r w:rsidR="002F1D49" w:rsidRPr="00676B46">
          <w:rPr>
            <w:noProof/>
            <w:webHidden/>
          </w:rPr>
        </w:r>
        <w:r w:rsidR="002F1D49" w:rsidRPr="00676B46">
          <w:rPr>
            <w:noProof/>
            <w:webHidden/>
          </w:rPr>
          <w:fldChar w:fldCharType="separate"/>
        </w:r>
        <w:r w:rsidR="002F1D49" w:rsidRPr="00676B46">
          <w:rPr>
            <w:noProof/>
            <w:webHidden/>
          </w:rPr>
          <w:t>7</w:t>
        </w:r>
        <w:r w:rsidR="002F1D49" w:rsidRPr="00676B46">
          <w:rPr>
            <w:noProof/>
            <w:webHidden/>
          </w:rPr>
          <w:fldChar w:fldCharType="end"/>
        </w:r>
      </w:hyperlink>
    </w:p>
    <w:p w14:paraId="71877C08"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75AE30A5"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368D1FF4" w14:textId="77777777" w:rsidR="00B3398C" w:rsidRPr="009A7C35" w:rsidRDefault="00B3398C">
      <w:pPr>
        <w:widowControl w:val="0"/>
        <w:autoSpaceDE w:val="0"/>
        <w:autoSpaceDN w:val="0"/>
        <w:adjustRightInd w:val="0"/>
        <w:rPr>
          <w:rFonts w:ascii="Arial" w:hAnsi="Arial" w:cs="Arial"/>
          <w:sz w:val="20"/>
          <w:szCs w:val="20"/>
        </w:rPr>
        <w:sectPr w:rsidR="00B3398C" w:rsidRPr="009A7C35" w:rsidSect="000A7363">
          <w:footerReference w:type="even" r:id="rId8"/>
          <w:footerReference w:type="default" r:id="rId9"/>
          <w:pgSz w:w="11900" w:h="16840"/>
          <w:pgMar w:top="1418" w:right="1418" w:bottom="1418" w:left="1418" w:header="720" w:footer="720" w:gutter="0"/>
          <w:cols w:space="720"/>
          <w:noEndnote/>
          <w:titlePg/>
        </w:sectPr>
      </w:pPr>
    </w:p>
    <w:p w14:paraId="5F0FB0C6" w14:textId="77777777" w:rsidR="00B3398C" w:rsidRPr="009A7C35" w:rsidRDefault="00B3398C" w:rsidP="00D31D79">
      <w:pPr>
        <w:pStyle w:val="Titre1"/>
        <w:spacing w:before="0"/>
        <w:rPr>
          <w:i/>
          <w:iCs/>
        </w:rPr>
      </w:pPr>
      <w:bookmarkStart w:id="0" w:name="_Toc210818852"/>
      <w:r w:rsidRPr="009A7C35">
        <w:lastRenderedPageBreak/>
        <w:t>OBJET</w:t>
      </w:r>
      <w:bookmarkEnd w:id="0"/>
    </w:p>
    <w:p w14:paraId="77FD93A9" w14:textId="77777777" w:rsidR="00B3398C" w:rsidRPr="009A7C35" w:rsidRDefault="00B3398C" w:rsidP="00D31D79">
      <w:pPr>
        <w:widowControl w:val="0"/>
        <w:autoSpaceDE w:val="0"/>
        <w:autoSpaceDN w:val="0"/>
        <w:adjustRightInd w:val="0"/>
        <w:spacing w:before="0" w:after="0" w:line="249" w:lineRule="exact"/>
        <w:rPr>
          <w:rFonts w:ascii="Arial" w:hAnsi="Arial" w:cs="Arial"/>
          <w:sz w:val="20"/>
          <w:szCs w:val="20"/>
        </w:rPr>
      </w:pPr>
    </w:p>
    <w:p w14:paraId="2EED1ABA" w14:textId="54F404E7" w:rsidR="0044597D" w:rsidRDefault="00B3398C" w:rsidP="00D31D79">
      <w:pPr>
        <w:pStyle w:val="Paragraphedeliste"/>
        <w:spacing w:before="0" w:after="0"/>
        <w:ind w:left="0"/>
        <w:rPr>
          <w:rFonts w:cstheme="minorHAnsi"/>
        </w:rPr>
      </w:pPr>
      <w:r w:rsidRPr="009A7C35">
        <w:rPr>
          <w:spacing w:val="-2"/>
        </w:rPr>
        <w:t>Le</w:t>
      </w:r>
      <w:r w:rsidRPr="009A7C35">
        <w:t xml:space="preserve"> présent </w:t>
      </w:r>
      <w:r w:rsidRPr="009A7C35">
        <w:rPr>
          <w:spacing w:val="-2"/>
        </w:rPr>
        <w:t>marché</w:t>
      </w:r>
      <w:r w:rsidRPr="009A7C35">
        <w:t xml:space="preserve"> </w:t>
      </w:r>
      <w:r w:rsidRPr="009A7C35">
        <w:rPr>
          <w:spacing w:val="-2"/>
        </w:rPr>
        <w:t>a</w:t>
      </w:r>
      <w:r w:rsidRPr="009A7C35">
        <w:t xml:space="preserve"> </w:t>
      </w:r>
      <w:r w:rsidRPr="009A7C35">
        <w:rPr>
          <w:spacing w:val="-2"/>
        </w:rPr>
        <w:t>pour</w:t>
      </w:r>
      <w:r w:rsidRPr="009A7C35">
        <w:t xml:space="preserve"> </w:t>
      </w:r>
      <w:r w:rsidRPr="009A7C35">
        <w:rPr>
          <w:spacing w:val="-2"/>
        </w:rPr>
        <w:t>objet</w:t>
      </w:r>
      <w:r w:rsidR="00177F31" w:rsidRPr="009A7C35">
        <w:rPr>
          <w:spacing w:val="-2"/>
        </w:rPr>
        <w:t xml:space="preserve"> </w:t>
      </w:r>
      <w:r w:rsidR="0044597D">
        <w:rPr>
          <w:spacing w:val="-2"/>
        </w:rPr>
        <w:t>l</w:t>
      </w:r>
      <w:r w:rsidR="0044597D">
        <w:t xml:space="preserve">a </w:t>
      </w:r>
      <w:r w:rsidR="0044597D" w:rsidRPr="00C04685">
        <w:rPr>
          <w:rFonts w:cstheme="minorHAnsi"/>
        </w:rPr>
        <w:t xml:space="preserve">maintenance et </w:t>
      </w:r>
      <w:r w:rsidR="0044597D">
        <w:rPr>
          <w:rFonts w:cstheme="minorHAnsi"/>
        </w:rPr>
        <w:t>l</w:t>
      </w:r>
      <w:r w:rsidR="0044597D" w:rsidRPr="00C04685">
        <w:rPr>
          <w:rFonts w:cstheme="minorHAnsi"/>
        </w:rPr>
        <w:t>e contrôle métrologique des appareils de mesure de pesée</w:t>
      </w:r>
      <w:r w:rsidR="0044597D">
        <w:rPr>
          <w:rFonts w:cstheme="minorHAnsi"/>
        </w:rPr>
        <w:t xml:space="preserve"> du centre INRAE de Nouvelle-Aquitaine-Poitiers qui est localisé sur 3 sites géographiques distincts :</w:t>
      </w:r>
    </w:p>
    <w:p w14:paraId="306CE983" w14:textId="75300E94" w:rsidR="0044597D" w:rsidRDefault="0044597D" w:rsidP="00D7405D">
      <w:pPr>
        <w:pStyle w:val="Paragraphedeliste"/>
        <w:numPr>
          <w:ilvl w:val="0"/>
          <w:numId w:val="5"/>
        </w:numPr>
        <w:ind w:left="0" w:firstLine="284"/>
        <w:rPr>
          <w:rFonts w:cstheme="minorHAnsi"/>
        </w:rPr>
      </w:pPr>
      <w:r>
        <w:rPr>
          <w:rFonts w:cstheme="minorHAnsi"/>
        </w:rPr>
        <w:t>Site de Lusignan / Rouillé (86600/86480)</w:t>
      </w:r>
    </w:p>
    <w:p w14:paraId="3756B27D" w14:textId="1982914E" w:rsidR="0044597D" w:rsidRDefault="0044597D" w:rsidP="00D7405D">
      <w:pPr>
        <w:pStyle w:val="Paragraphedeliste"/>
        <w:numPr>
          <w:ilvl w:val="0"/>
          <w:numId w:val="5"/>
        </w:numPr>
        <w:ind w:left="0" w:firstLine="284"/>
        <w:rPr>
          <w:rFonts w:cstheme="minorHAnsi"/>
        </w:rPr>
      </w:pPr>
      <w:r>
        <w:rPr>
          <w:rFonts w:cstheme="minorHAnsi"/>
        </w:rPr>
        <w:t xml:space="preserve">Site du </w:t>
      </w:r>
      <w:proofErr w:type="spellStart"/>
      <w:r>
        <w:rPr>
          <w:rFonts w:cstheme="minorHAnsi"/>
        </w:rPr>
        <w:t>Magneraud</w:t>
      </w:r>
      <w:proofErr w:type="spellEnd"/>
      <w:r>
        <w:rPr>
          <w:rFonts w:cstheme="minorHAnsi"/>
        </w:rPr>
        <w:t xml:space="preserve"> (17700 ST PIERRE D’AMILLY)</w:t>
      </w:r>
    </w:p>
    <w:p w14:paraId="410D0E6A" w14:textId="07C721C6" w:rsidR="0044597D" w:rsidRPr="00C04685" w:rsidRDefault="0044597D" w:rsidP="00D7405D">
      <w:pPr>
        <w:pStyle w:val="Paragraphedeliste"/>
        <w:numPr>
          <w:ilvl w:val="0"/>
          <w:numId w:val="5"/>
        </w:numPr>
        <w:ind w:left="0" w:firstLine="284"/>
        <w:rPr>
          <w:rFonts w:cstheme="minorHAnsi"/>
        </w:rPr>
      </w:pPr>
      <w:r>
        <w:rPr>
          <w:rFonts w:cstheme="minorHAnsi"/>
        </w:rPr>
        <w:t xml:space="preserve">Site de </w:t>
      </w:r>
      <w:r w:rsidR="001548EA">
        <w:rPr>
          <w:rFonts w:cstheme="minorHAnsi"/>
        </w:rPr>
        <w:t>S</w:t>
      </w:r>
      <w:r w:rsidR="001548EA" w:rsidRPr="001548EA">
        <w:rPr>
          <w:rFonts w:cstheme="minorHAnsi"/>
          <w:vertAlign w:val="superscript"/>
        </w:rPr>
        <w:t>t</w:t>
      </w:r>
      <w:r w:rsidR="001548EA">
        <w:rPr>
          <w:rFonts w:cstheme="minorHAnsi"/>
        </w:rPr>
        <w:t xml:space="preserve"> Laurent de la Prée</w:t>
      </w:r>
      <w:r>
        <w:rPr>
          <w:rFonts w:cstheme="minorHAnsi"/>
        </w:rPr>
        <w:t xml:space="preserve"> (17450)</w:t>
      </w:r>
    </w:p>
    <w:p w14:paraId="42828000" w14:textId="77777777" w:rsidR="00CB348C" w:rsidRPr="00D31D79" w:rsidRDefault="00CB348C" w:rsidP="00D31D79">
      <w:pPr>
        <w:pStyle w:val="Titre1"/>
        <w:numPr>
          <w:ilvl w:val="0"/>
          <w:numId w:val="0"/>
        </w:numPr>
        <w:spacing w:before="0"/>
      </w:pPr>
    </w:p>
    <w:p w14:paraId="23755139" w14:textId="77777777" w:rsidR="00B3398C" w:rsidRPr="009A7C35" w:rsidRDefault="00B3398C" w:rsidP="00D31D79">
      <w:pPr>
        <w:pStyle w:val="Titre1"/>
        <w:spacing w:before="0"/>
        <w:rPr>
          <w:i/>
          <w:iCs/>
        </w:rPr>
      </w:pPr>
      <w:bookmarkStart w:id="1" w:name="_Toc210818853"/>
      <w:r w:rsidRPr="009A7C35">
        <w:t>PIÈCES CONTRACTUELLES DU MARCHÉ</w:t>
      </w:r>
      <w:bookmarkEnd w:id="1"/>
    </w:p>
    <w:p w14:paraId="66B9CDA6" w14:textId="77777777" w:rsidR="00B3398C" w:rsidRPr="009A7C35" w:rsidRDefault="00B3398C" w:rsidP="00D31D79">
      <w:pPr>
        <w:widowControl w:val="0"/>
        <w:autoSpaceDE w:val="0"/>
        <w:autoSpaceDN w:val="0"/>
        <w:adjustRightInd w:val="0"/>
        <w:spacing w:before="0" w:after="0" w:line="249" w:lineRule="exact"/>
        <w:rPr>
          <w:rFonts w:ascii="Arial" w:hAnsi="Arial" w:cs="Arial"/>
          <w:sz w:val="20"/>
          <w:szCs w:val="20"/>
        </w:rPr>
      </w:pPr>
    </w:p>
    <w:p w14:paraId="01134043" w14:textId="77777777" w:rsidR="004C2431" w:rsidRDefault="00B3398C" w:rsidP="00D31D79">
      <w:pPr>
        <w:spacing w:before="0" w:after="0"/>
      </w:pPr>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2E3F48B8" w14:textId="77777777" w:rsidR="00D31D79" w:rsidRDefault="00D31D79" w:rsidP="00D31D79">
      <w:pPr>
        <w:spacing w:before="0" w:after="0"/>
        <w:rPr>
          <w:rFonts w:cs="Arial"/>
        </w:rPr>
      </w:pPr>
    </w:p>
    <w:p w14:paraId="1E6768CB" w14:textId="586A3635" w:rsidR="00B3398C" w:rsidRPr="00D31D79" w:rsidRDefault="00B3398C" w:rsidP="00D31D79">
      <w:pPr>
        <w:spacing w:before="0" w:after="0"/>
        <w:rPr>
          <w:rFonts w:cs="Arial"/>
        </w:rPr>
      </w:pPr>
      <w:r w:rsidRPr="00DE6EF0">
        <w:rPr>
          <w:rFonts w:cs="Arial"/>
        </w:rPr>
        <w:t>Les pièces constitutives du Marché sont, par ordre décroissant de priorité</w:t>
      </w:r>
      <w:r w:rsidR="00CB348C" w:rsidRPr="00DE6EF0">
        <w:rPr>
          <w:rFonts w:cs="Arial"/>
        </w:rPr>
        <w:t xml:space="preserve"> </w:t>
      </w:r>
      <w:r w:rsidRPr="00DE6EF0">
        <w:rPr>
          <w:rFonts w:cs="Arial"/>
        </w:rPr>
        <w:t>:</w:t>
      </w:r>
    </w:p>
    <w:p w14:paraId="002C0246" w14:textId="77777777" w:rsidR="00105764" w:rsidRDefault="00B3398C" w:rsidP="00D7405D">
      <w:pPr>
        <w:pStyle w:val="Paragraphedeliste"/>
        <w:numPr>
          <w:ilvl w:val="0"/>
          <w:numId w:val="2"/>
        </w:numPr>
      </w:pPr>
      <w:proofErr w:type="gramStart"/>
      <w:r w:rsidRPr="008630D8">
        <w:t>le</w:t>
      </w:r>
      <w:proofErr w:type="gramEnd"/>
      <w:r w:rsidRPr="008630D8">
        <w:t xml:space="preserve"> présent Acte d’Engagement</w:t>
      </w:r>
      <w:r w:rsidR="00105764">
        <w:t>,</w:t>
      </w:r>
    </w:p>
    <w:p w14:paraId="335FF8B1" w14:textId="0905E841" w:rsidR="00B3398C" w:rsidRPr="008630D8" w:rsidRDefault="00105764" w:rsidP="00D7405D">
      <w:pPr>
        <w:pStyle w:val="Paragraphedeliste"/>
        <w:numPr>
          <w:ilvl w:val="0"/>
          <w:numId w:val="2"/>
        </w:numPr>
      </w:pPr>
      <w:proofErr w:type="gramStart"/>
      <w:r>
        <w:t>le</w:t>
      </w:r>
      <w:proofErr w:type="gramEnd"/>
      <w:r>
        <w:t xml:space="preserve"> Cahier</w:t>
      </w:r>
      <w:r w:rsidR="00416153">
        <w:t xml:space="preserve"> des Charges</w:t>
      </w:r>
      <w:r w:rsidR="001D73E9" w:rsidRPr="008630D8">
        <w:t xml:space="preserve"> du marché</w:t>
      </w:r>
      <w:r w:rsidR="0044597D">
        <w:t xml:space="preserve"> et ses annexes,</w:t>
      </w:r>
    </w:p>
    <w:p w14:paraId="03D4802A" w14:textId="310F35B3" w:rsidR="000E0421" w:rsidRPr="00D426AD" w:rsidRDefault="000E0421" w:rsidP="00D7405D">
      <w:pPr>
        <w:pStyle w:val="Paragraphedeliste"/>
        <w:numPr>
          <w:ilvl w:val="0"/>
          <w:numId w:val="2"/>
        </w:numPr>
        <w:rPr>
          <w:b/>
          <w:bCs/>
        </w:rPr>
      </w:pPr>
      <w:proofErr w:type="gramStart"/>
      <w:r w:rsidRPr="003D6216">
        <w:t>le</w:t>
      </w:r>
      <w:proofErr w:type="gramEnd"/>
      <w:r w:rsidRPr="003D6216">
        <w:t xml:space="preserve"> Cahier des Clauses Administratives Générales applicable aux marchés publics de</w:t>
      </w:r>
      <w:r w:rsidR="00416153" w:rsidRPr="003D6216">
        <w:t xml:space="preserve"> fournitures et services approuvé </w:t>
      </w:r>
      <w:r w:rsidRPr="003D6216">
        <w:t>par l</w:t>
      </w:r>
      <w:r w:rsidR="00F84DE2" w:rsidRPr="003D6216">
        <w:t>’arrêté du</w:t>
      </w:r>
      <w:r w:rsidR="003D6216" w:rsidRPr="003D6216">
        <w:t xml:space="preserve"> 30 mars 2021</w:t>
      </w:r>
      <w:r w:rsidRPr="003D6216">
        <w:t xml:space="preserve"> ci-après désigné le </w:t>
      </w:r>
      <w:r w:rsidR="00DA08FD" w:rsidRPr="003D6216">
        <w:rPr>
          <w:b/>
          <w:bCs/>
        </w:rPr>
        <w:t>CCAG-</w:t>
      </w:r>
      <w:r w:rsidR="00416153" w:rsidRPr="003D6216">
        <w:rPr>
          <w:b/>
          <w:bCs/>
        </w:rPr>
        <w:t>FCS</w:t>
      </w:r>
      <w:r w:rsidR="0044597D">
        <w:rPr>
          <w:b/>
          <w:bCs/>
        </w:rPr>
        <w:t>,</w:t>
      </w:r>
    </w:p>
    <w:p w14:paraId="0A456F4D" w14:textId="77777777" w:rsidR="00CB348C" w:rsidRPr="003D6216" w:rsidRDefault="00B3398C" w:rsidP="00D7405D">
      <w:pPr>
        <w:pStyle w:val="Paragraphedeliste"/>
        <w:numPr>
          <w:ilvl w:val="0"/>
          <w:numId w:val="2"/>
        </w:numPr>
      </w:pPr>
      <w:proofErr w:type="gramStart"/>
      <w:r w:rsidRPr="003D6216">
        <w:t>l’offre</w:t>
      </w:r>
      <w:proofErr w:type="gramEnd"/>
      <w:r w:rsidRPr="003D6216">
        <w:t xml:space="preserve"> du titulaire.</w:t>
      </w:r>
    </w:p>
    <w:p w14:paraId="24CB9E9D" w14:textId="77777777" w:rsidR="00CB348C" w:rsidRPr="00D31D79" w:rsidRDefault="00CB348C" w:rsidP="00D31D79">
      <w:pPr>
        <w:pStyle w:val="Titre1"/>
        <w:numPr>
          <w:ilvl w:val="0"/>
          <w:numId w:val="0"/>
        </w:numPr>
        <w:spacing w:before="0"/>
      </w:pPr>
    </w:p>
    <w:p w14:paraId="3290A502" w14:textId="77777777" w:rsidR="00B3398C" w:rsidRPr="00707B79" w:rsidRDefault="00B3398C" w:rsidP="00D31D79">
      <w:pPr>
        <w:pStyle w:val="Titre1"/>
        <w:spacing w:before="0"/>
        <w:rPr>
          <w:i/>
          <w:iCs/>
          <w:color w:val="C00000"/>
        </w:rPr>
      </w:pPr>
      <w:bookmarkStart w:id="2" w:name="_Toc210818854"/>
      <w:r w:rsidRPr="009A7C35">
        <w:t>CONTENU DES PRESTATION</w:t>
      </w:r>
      <w:r w:rsidR="00416153">
        <w:t>S</w:t>
      </w:r>
      <w:bookmarkEnd w:id="2"/>
    </w:p>
    <w:p w14:paraId="72170B80" w14:textId="77777777" w:rsidR="00B3398C" w:rsidRPr="009A7C35" w:rsidRDefault="00B3398C" w:rsidP="00D31D79">
      <w:pPr>
        <w:widowControl w:val="0"/>
        <w:autoSpaceDE w:val="0"/>
        <w:autoSpaceDN w:val="0"/>
        <w:adjustRightInd w:val="0"/>
        <w:spacing w:before="0" w:after="0" w:line="200" w:lineRule="exact"/>
        <w:rPr>
          <w:rFonts w:ascii="Arial" w:hAnsi="Arial" w:cs="Arial"/>
          <w:sz w:val="20"/>
          <w:szCs w:val="20"/>
        </w:rPr>
      </w:pPr>
    </w:p>
    <w:p w14:paraId="06428267" w14:textId="52CF83C6" w:rsidR="00B3398C" w:rsidRPr="00D31D79" w:rsidRDefault="00B3398C" w:rsidP="00D31D79">
      <w:pPr>
        <w:spacing w:before="0" w:after="0"/>
        <w:rPr>
          <w:b/>
          <w:bCs/>
        </w:rPr>
      </w:pPr>
      <w:r w:rsidRPr="009A7C35">
        <w:t xml:space="preserve">Les prestations </w:t>
      </w:r>
      <w:r w:rsidR="00416153">
        <w:t xml:space="preserve">et fournitures, </w:t>
      </w:r>
      <w:r w:rsidRPr="009A7C35">
        <w:t xml:space="preserve">objet du marché </w:t>
      </w:r>
      <w:r w:rsidR="00416153">
        <w:t>sont stipulées dans le Cahier des Charges du marché.</w:t>
      </w:r>
    </w:p>
    <w:p w14:paraId="366B69A1" w14:textId="77777777" w:rsidR="00D31D79" w:rsidRPr="00D31D79" w:rsidRDefault="00D31D79" w:rsidP="00D31D79">
      <w:pPr>
        <w:pStyle w:val="Titre1"/>
        <w:numPr>
          <w:ilvl w:val="0"/>
          <w:numId w:val="0"/>
        </w:numPr>
        <w:spacing w:before="0"/>
        <w:ind w:left="360" w:hanging="360"/>
        <w:rPr>
          <w:i/>
          <w:iCs/>
        </w:rPr>
      </w:pPr>
    </w:p>
    <w:p w14:paraId="409168BC" w14:textId="4CD58566" w:rsidR="00B3398C" w:rsidRPr="009A7C35" w:rsidRDefault="00B3398C" w:rsidP="00D31D79">
      <w:pPr>
        <w:pStyle w:val="Titre1"/>
        <w:spacing w:before="0"/>
        <w:rPr>
          <w:i/>
          <w:iCs/>
        </w:rPr>
      </w:pPr>
      <w:bookmarkStart w:id="3" w:name="_Toc210818855"/>
      <w:r w:rsidRPr="009A7C35">
        <w:t>DURÉE DU MARCHÉ (OU DÉLAI(S) D’EXÉCUTION DU MARCHÉ)</w:t>
      </w:r>
      <w:bookmarkEnd w:id="3"/>
      <w:r w:rsidRPr="009A7C35">
        <w:t xml:space="preserve"> </w:t>
      </w:r>
    </w:p>
    <w:p w14:paraId="256BBA6F" w14:textId="77777777" w:rsidR="00416153" w:rsidRPr="00D426AD" w:rsidRDefault="00416153" w:rsidP="00D31D79">
      <w:pPr>
        <w:widowControl w:val="0"/>
        <w:autoSpaceDE w:val="0"/>
        <w:autoSpaceDN w:val="0"/>
        <w:adjustRightInd w:val="0"/>
        <w:spacing w:before="0" w:after="0" w:line="200" w:lineRule="exact"/>
        <w:rPr>
          <w:rFonts w:ascii="Arial" w:hAnsi="Arial" w:cs="Arial"/>
          <w:sz w:val="20"/>
          <w:szCs w:val="20"/>
        </w:rPr>
      </w:pPr>
    </w:p>
    <w:p w14:paraId="30DBE867" w14:textId="6E51AB6C" w:rsidR="00416153" w:rsidRPr="00D31D79" w:rsidRDefault="00416153" w:rsidP="00D31D79">
      <w:pPr>
        <w:rPr>
          <w:rFonts w:cs="Arial"/>
        </w:rPr>
      </w:pPr>
      <w:r w:rsidRPr="00D31D79">
        <w:rPr>
          <w:rFonts w:cs="Arial"/>
        </w:rPr>
        <w:t>La durée du marché est d’un an à compter de la date de notification du marché.</w:t>
      </w:r>
    </w:p>
    <w:p w14:paraId="7F6F741B" w14:textId="6042B4CB" w:rsidR="00416153" w:rsidRDefault="00416153" w:rsidP="00416153">
      <w:pPr>
        <w:rPr>
          <w:rFonts w:cs="Arial"/>
        </w:rPr>
      </w:pPr>
      <w:r>
        <w:rPr>
          <w:rFonts w:cs="Arial"/>
        </w:rPr>
        <w:t xml:space="preserve">A l’expiration de cette première période, il sera renouvelé chaque année par </w:t>
      </w:r>
      <w:r w:rsidR="00873A76">
        <w:rPr>
          <w:rFonts w:cs="Arial"/>
        </w:rPr>
        <w:t xml:space="preserve">tacite </w:t>
      </w:r>
      <w:r>
        <w:rPr>
          <w:rFonts w:cs="Arial"/>
        </w:rPr>
        <w:t>reconduction pour une même durée sans que la durée totale du contrat n’excède quatre ans, sauf résiliation motivée par l’une ou l’autre des parties, moyennant un préavis (par lettre recommandée) de deux mois avant la date d’expiration.</w:t>
      </w:r>
    </w:p>
    <w:p w14:paraId="71C634F4" w14:textId="21E4BC2E" w:rsidR="00D426AD" w:rsidRDefault="00D426AD">
      <w:pPr>
        <w:spacing w:before="0" w:after="0"/>
        <w:jc w:val="left"/>
        <w:rPr>
          <w:rFonts w:ascii="Arial" w:hAnsi="Arial" w:cs="Arial"/>
          <w:sz w:val="20"/>
          <w:szCs w:val="20"/>
        </w:rPr>
      </w:pPr>
      <w:r>
        <w:rPr>
          <w:rFonts w:ascii="Arial" w:hAnsi="Arial" w:cs="Arial"/>
          <w:sz w:val="20"/>
          <w:szCs w:val="20"/>
        </w:rPr>
        <w:br w:type="page"/>
      </w:r>
    </w:p>
    <w:p w14:paraId="5BEA6C4D" w14:textId="77777777" w:rsidR="00B3398C" w:rsidRPr="00D31D79" w:rsidRDefault="00B3398C" w:rsidP="00D31D79">
      <w:pPr>
        <w:pStyle w:val="Titre1"/>
        <w:spacing w:before="0"/>
      </w:pPr>
      <w:bookmarkStart w:id="4" w:name="_Toc210818856"/>
      <w:r w:rsidRPr="009A7C35">
        <w:lastRenderedPageBreak/>
        <w:t>VÉRIFICATION ET ADMISSION DES FOURNITURES OU DES PRESTATIONS</w:t>
      </w:r>
      <w:bookmarkEnd w:id="4"/>
    </w:p>
    <w:p w14:paraId="4B49A2F5" w14:textId="77777777" w:rsidR="007425A9" w:rsidRPr="00D31D79" w:rsidRDefault="007425A9" w:rsidP="00D31D79">
      <w:pPr>
        <w:widowControl w:val="0"/>
        <w:autoSpaceDE w:val="0"/>
        <w:autoSpaceDN w:val="0"/>
        <w:adjustRightInd w:val="0"/>
        <w:spacing w:before="0" w:after="0" w:line="200" w:lineRule="exact"/>
        <w:rPr>
          <w:rFonts w:cs="Arial"/>
        </w:rPr>
      </w:pPr>
    </w:p>
    <w:p w14:paraId="62FD7ACD" w14:textId="77777777" w:rsidR="00B3398C" w:rsidRPr="007425A9" w:rsidRDefault="007425A9" w:rsidP="00D31D79">
      <w:pPr>
        <w:widowControl w:val="0"/>
        <w:autoSpaceDE w:val="0"/>
        <w:autoSpaceDN w:val="0"/>
        <w:adjustRightInd w:val="0"/>
        <w:spacing w:before="0" w:after="0" w:line="200" w:lineRule="exact"/>
        <w:rPr>
          <w:rFonts w:cs="Arial"/>
        </w:rPr>
      </w:pPr>
      <w:r w:rsidRPr="007425A9">
        <w:rPr>
          <w:rFonts w:cs="Arial"/>
        </w:rPr>
        <w:t xml:space="preserve">Le prestataire </w:t>
      </w:r>
      <w:r>
        <w:rPr>
          <w:rFonts w:cs="Arial"/>
        </w:rPr>
        <w:t>d</w:t>
      </w:r>
      <w:r w:rsidRPr="007425A9">
        <w:rPr>
          <w:rFonts w:cs="Arial"/>
        </w:rPr>
        <w:t xml:space="preserve">evra respecter les </w:t>
      </w:r>
      <w:r>
        <w:rPr>
          <w:rFonts w:cs="Arial"/>
        </w:rPr>
        <w:t>modalités d’organisation de la prestation stipulé dans le cahier des charges (article 3).</w:t>
      </w:r>
    </w:p>
    <w:p w14:paraId="315CF698" w14:textId="77777777" w:rsidR="007425A9" w:rsidRPr="00D426AD" w:rsidRDefault="007425A9" w:rsidP="00D31D79">
      <w:pPr>
        <w:widowControl w:val="0"/>
        <w:autoSpaceDE w:val="0"/>
        <w:autoSpaceDN w:val="0"/>
        <w:adjustRightInd w:val="0"/>
        <w:spacing w:before="0" w:after="0" w:line="200" w:lineRule="exact"/>
        <w:rPr>
          <w:rFonts w:ascii="Arial" w:hAnsi="Arial" w:cs="Arial"/>
          <w:i/>
          <w:sz w:val="20"/>
          <w:szCs w:val="20"/>
        </w:rPr>
      </w:pPr>
    </w:p>
    <w:p w14:paraId="566D032E" w14:textId="77777777" w:rsidR="007425A9" w:rsidRDefault="007425A9" w:rsidP="00D31D79">
      <w:pPr>
        <w:spacing w:before="0" w:after="0"/>
        <w:ind w:firstLine="709"/>
        <w:rPr>
          <w:b/>
          <w:i/>
        </w:rPr>
      </w:pPr>
      <w:r>
        <w:rPr>
          <w:b/>
          <w:i/>
        </w:rPr>
        <w:t>5.1 Pénalités de retard</w:t>
      </w:r>
    </w:p>
    <w:p w14:paraId="2F1FCD02" w14:textId="4EAC2F20" w:rsidR="007425A9" w:rsidRDefault="007425A9" w:rsidP="00D31D79">
      <w:pPr>
        <w:spacing w:after="0"/>
        <w:rPr>
          <w:rFonts w:cs="Arial"/>
        </w:rPr>
      </w:pPr>
      <w:r w:rsidRPr="0014474A">
        <w:rPr>
          <w:rFonts w:cs="Arial"/>
        </w:rPr>
        <w:t>Si l’entreprise n’est pas intervenue dans les délais qui seront convenus, une pénalité de 50 euros HT par jour de retard lui sera appliquée, par dérogation à l’article 14.1</w:t>
      </w:r>
      <w:r w:rsidR="003D6216">
        <w:rPr>
          <w:rFonts w:cs="Arial"/>
        </w:rPr>
        <w:t>.1</w:t>
      </w:r>
      <w:r w:rsidRPr="0014474A">
        <w:rPr>
          <w:rFonts w:cs="Arial"/>
        </w:rPr>
        <w:t xml:space="preserve"> du CCAG – FCS.</w:t>
      </w:r>
    </w:p>
    <w:p w14:paraId="7208A2A3" w14:textId="77777777" w:rsidR="007425A9" w:rsidRDefault="007425A9" w:rsidP="00D31D79">
      <w:pPr>
        <w:spacing w:before="0" w:after="0"/>
        <w:rPr>
          <w:rFonts w:cs="Arial"/>
        </w:rPr>
      </w:pPr>
    </w:p>
    <w:p w14:paraId="50542A0B" w14:textId="77777777" w:rsidR="007425A9" w:rsidRDefault="007425A9" w:rsidP="00D31D79">
      <w:pPr>
        <w:spacing w:before="0" w:after="0"/>
        <w:ind w:firstLine="709"/>
        <w:rPr>
          <w:b/>
          <w:i/>
        </w:rPr>
      </w:pPr>
      <w:r>
        <w:rPr>
          <w:b/>
          <w:i/>
        </w:rPr>
        <w:t>5.2 Résiliation</w:t>
      </w:r>
    </w:p>
    <w:p w14:paraId="51DE437C" w14:textId="56CFBF24" w:rsidR="00D31D79" w:rsidRDefault="007425A9" w:rsidP="00D31D79">
      <w:pPr>
        <w:widowControl w:val="0"/>
        <w:autoSpaceDE w:val="0"/>
        <w:autoSpaceDN w:val="0"/>
        <w:adjustRightInd w:val="0"/>
        <w:spacing w:after="0"/>
        <w:rPr>
          <w:rFonts w:cs="Arial"/>
        </w:rPr>
      </w:pPr>
      <w:r w:rsidRPr="0014474A">
        <w:rPr>
          <w:rFonts w:cs="Arial"/>
        </w:rPr>
        <w:t>Tout manquement constaté dans ses obligations telles que décrites au présent contrat sera notifiée au prestataire par courrier recommandé avec accusé de réception. Si le prestataire ne les a pas remplies dans les quinze jours suivant la réception de la lettre recommandée, INRAE pourra résilier le marché de plein droit aux torts du prestataire. En cas de résiliation du marché par INRAE, le prestataire sera rémunéré des prestations terminées et admises et, d’autre part, des prestations en cours d’exécution dont INRAE accepte l’achèvement.</w:t>
      </w:r>
    </w:p>
    <w:p w14:paraId="24C0599E" w14:textId="77777777" w:rsidR="00707B79" w:rsidRPr="00D31D79" w:rsidRDefault="00707B79" w:rsidP="00D31D79">
      <w:pPr>
        <w:pStyle w:val="Titre1"/>
        <w:numPr>
          <w:ilvl w:val="0"/>
          <w:numId w:val="0"/>
        </w:numPr>
        <w:spacing w:before="0"/>
        <w:ind w:left="360" w:hanging="360"/>
        <w:rPr>
          <w:i/>
          <w:iCs/>
        </w:rPr>
      </w:pPr>
    </w:p>
    <w:p w14:paraId="023AD31A" w14:textId="188F3BB8" w:rsidR="001E21C7" w:rsidRPr="001E21C7" w:rsidRDefault="001E21C7" w:rsidP="00D31D79">
      <w:pPr>
        <w:pStyle w:val="Titre1"/>
        <w:spacing w:before="0"/>
      </w:pPr>
      <w:bookmarkStart w:id="5" w:name="_Toc210818857"/>
      <w:r>
        <w:t xml:space="preserve">ZONES </w:t>
      </w:r>
      <w:r w:rsidR="00D426AD">
        <w:t>À</w:t>
      </w:r>
      <w:r>
        <w:t xml:space="preserve"> R</w:t>
      </w:r>
      <w:r w:rsidR="00D426AD">
        <w:rPr>
          <w:rFonts w:ascii="Segoe UI Symbol" w:hAnsi="Segoe UI Symbol"/>
        </w:rPr>
        <w:t>É</w:t>
      </w:r>
      <w:r>
        <w:t>GIME RESTRICTIF (ZRR)</w:t>
      </w:r>
      <w:bookmarkEnd w:id="5"/>
    </w:p>
    <w:p w14:paraId="25C1319D" w14:textId="77777777" w:rsidR="001E21C7" w:rsidRPr="001E21C7" w:rsidRDefault="001E21C7" w:rsidP="00D31D79">
      <w:pPr>
        <w:spacing w:after="0"/>
        <w:rPr>
          <w:b/>
          <w:i/>
        </w:rPr>
      </w:pPr>
      <w:bookmarkStart w:id="6"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6"/>
    </w:p>
    <w:p w14:paraId="7F990B1B" w14:textId="77777777" w:rsidR="001E21C7" w:rsidRDefault="001E21C7" w:rsidP="00D31D79">
      <w:pPr>
        <w:spacing w:after="0"/>
      </w:pPr>
      <w:bookmarkStart w:id="7"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7"/>
    </w:p>
    <w:p w14:paraId="2D4C0F0F" w14:textId="77777777" w:rsidR="00105764" w:rsidRPr="001E21C7" w:rsidRDefault="00105764" w:rsidP="00D31D79">
      <w:pPr>
        <w:pStyle w:val="Titre1"/>
        <w:numPr>
          <w:ilvl w:val="0"/>
          <w:numId w:val="0"/>
        </w:numPr>
        <w:spacing w:before="0"/>
        <w:ind w:left="360" w:hanging="360"/>
        <w:rPr>
          <w:b/>
          <w:i/>
        </w:rPr>
      </w:pPr>
    </w:p>
    <w:p w14:paraId="59EA7CDA" w14:textId="77777777" w:rsidR="00B3398C" w:rsidRDefault="00B3398C" w:rsidP="00D31D79">
      <w:pPr>
        <w:pStyle w:val="Titre1"/>
        <w:spacing w:before="0"/>
      </w:pPr>
      <w:bookmarkStart w:id="8" w:name="_Toc210818858"/>
      <w:r w:rsidRPr="009A7C35">
        <w:t>PRIX ET MODALITÉS DE PAIEMENTS</w:t>
      </w:r>
      <w:bookmarkEnd w:id="8"/>
    </w:p>
    <w:p w14:paraId="361FA95D" w14:textId="77777777" w:rsidR="00D31D79" w:rsidRPr="00D31D79" w:rsidRDefault="00D31D79" w:rsidP="00D31D79">
      <w:pPr>
        <w:spacing w:before="0" w:after="0"/>
      </w:pPr>
    </w:p>
    <w:p w14:paraId="313BAAB6" w14:textId="138A444D" w:rsidR="00D31D79" w:rsidRPr="00EF2D4D" w:rsidRDefault="00B3398C" w:rsidP="00D31D79">
      <w:pPr>
        <w:pStyle w:val="Titre2"/>
        <w:spacing w:before="0"/>
      </w:pPr>
      <w:bookmarkStart w:id="9" w:name="_Toc210818859"/>
      <w:r w:rsidRPr="009A7C35">
        <w:t>Prix du marché</w:t>
      </w:r>
      <w:bookmarkEnd w:id="9"/>
    </w:p>
    <w:p w14:paraId="751E63AD" w14:textId="51660CFB" w:rsidR="00D31D79" w:rsidRPr="00882B05" w:rsidRDefault="00105764" w:rsidP="00D31D79">
      <w:pPr>
        <w:spacing w:after="0"/>
        <w:rPr>
          <w:rFonts w:cs="Arial"/>
        </w:rPr>
      </w:pPr>
      <w:r w:rsidRPr="00882B05">
        <w:rPr>
          <w:rFonts w:cs="Arial"/>
        </w:rPr>
        <w:t>Le marché est traité à prix unitaire.</w:t>
      </w:r>
    </w:p>
    <w:p w14:paraId="30154F40" w14:textId="77777777" w:rsidR="00105764" w:rsidRPr="00882B05" w:rsidRDefault="00105764" w:rsidP="00D31D79">
      <w:pPr>
        <w:spacing w:after="0"/>
        <w:rPr>
          <w:rFonts w:cs="Arial"/>
        </w:rPr>
      </w:pPr>
      <w:r w:rsidRPr="00882B05">
        <w:rPr>
          <w:rFonts w:cs="Arial"/>
        </w:rPr>
        <w:t>Les prix du marché sont réputés fermes la 1</w:t>
      </w:r>
      <w:r w:rsidRPr="00466956">
        <w:rPr>
          <w:rFonts w:cs="Arial"/>
          <w:vertAlign w:val="superscript"/>
        </w:rPr>
        <w:t>ère</w:t>
      </w:r>
      <w:r>
        <w:rPr>
          <w:rFonts w:cs="Arial"/>
        </w:rPr>
        <w:t xml:space="preserve"> </w:t>
      </w:r>
      <w:r w:rsidRPr="00882B05">
        <w:rPr>
          <w:rFonts w:cs="Arial"/>
        </w:rPr>
        <w:t xml:space="preserve">année, ils sont ensuite ajustables annuellement les trois autres années par le prestataire </w:t>
      </w:r>
      <w:r>
        <w:rPr>
          <w:rFonts w:cs="Arial"/>
        </w:rPr>
        <w:t xml:space="preserve">selon la formule donnée </w:t>
      </w:r>
      <w:r w:rsidRPr="00882B05">
        <w:rPr>
          <w:rFonts w:cs="Arial"/>
        </w:rPr>
        <w:t>dans la limite d’une augmentation maximum de 3%.</w:t>
      </w:r>
    </w:p>
    <w:p w14:paraId="7FCF5E6A" w14:textId="530CD86B" w:rsidR="00D31D79" w:rsidRPr="00882B05" w:rsidRDefault="00105764" w:rsidP="00D31D79">
      <w:pPr>
        <w:spacing w:after="0"/>
        <w:rPr>
          <w:rFonts w:cs="Arial"/>
        </w:rPr>
      </w:pPr>
      <w:r w:rsidRPr="00882B05">
        <w:rPr>
          <w:rFonts w:cs="Arial"/>
        </w:rPr>
        <w:t>Dans le cas contraire, INRAE se réserve la possibilité de résilier, par lettre recommandée avec AR, le marché avec un préavis de 2 mois.</w:t>
      </w:r>
    </w:p>
    <w:p w14:paraId="32030F70" w14:textId="77777777" w:rsidR="00105764" w:rsidRPr="00882B05" w:rsidRDefault="00105764" w:rsidP="00D31D79">
      <w:pPr>
        <w:spacing w:after="0"/>
        <w:rPr>
          <w:rFonts w:cs="Arial"/>
        </w:rPr>
      </w:pPr>
      <w:r w:rsidRPr="00882B05">
        <w:rPr>
          <w:rFonts w:cs="Arial"/>
        </w:rPr>
        <w:t>Les nouveaux tarifs devront être obligatoirement transmis à INRAE, 3 mois avant chaque date anniversaire du marché.</w:t>
      </w:r>
    </w:p>
    <w:p w14:paraId="3A73FFB9" w14:textId="77777777" w:rsidR="00105764" w:rsidRPr="00882B05" w:rsidRDefault="00105764" w:rsidP="00D31D79">
      <w:pPr>
        <w:spacing w:after="0"/>
        <w:rPr>
          <w:rFonts w:cs="Arial"/>
        </w:rPr>
      </w:pPr>
      <w:r w:rsidRPr="00882B05">
        <w:rPr>
          <w:rFonts w:cs="Arial"/>
        </w:rPr>
        <w:t>Les prix unitaires de la prestation sont indiqués dans le devis détaillé du prestataire</w:t>
      </w:r>
      <w:r>
        <w:rPr>
          <w:rFonts w:cs="Arial"/>
        </w:rPr>
        <w:t xml:space="preserve"> annexé au marché.</w:t>
      </w:r>
    </w:p>
    <w:p w14:paraId="0F26335A" w14:textId="77777777" w:rsidR="00105764" w:rsidRPr="00882B05" w:rsidRDefault="00105764" w:rsidP="00D31D79">
      <w:pPr>
        <w:spacing w:after="0"/>
        <w:rPr>
          <w:rFonts w:cs="Arial"/>
        </w:rPr>
      </w:pPr>
      <w:r w:rsidRPr="00882B05">
        <w:rPr>
          <w:rFonts w:cs="Arial"/>
        </w:rPr>
        <w:t>A ces prix s’appliqueront :</w:t>
      </w:r>
    </w:p>
    <w:p w14:paraId="478CC0B0" w14:textId="77777777" w:rsidR="00105764" w:rsidRPr="00882B05" w:rsidRDefault="00105764" w:rsidP="00D7405D">
      <w:pPr>
        <w:pStyle w:val="Paragraphedeliste"/>
        <w:numPr>
          <w:ilvl w:val="0"/>
          <w:numId w:val="1"/>
        </w:numPr>
        <w:tabs>
          <w:tab w:val="clear" w:pos="540"/>
          <w:tab w:val="num" w:pos="1080"/>
        </w:tabs>
        <w:spacing w:after="0"/>
        <w:ind w:left="1080"/>
        <w:rPr>
          <w:rFonts w:cs="Arial"/>
        </w:rPr>
      </w:pPr>
      <w:proofErr w:type="gramStart"/>
      <w:r w:rsidRPr="00882B05">
        <w:rPr>
          <w:rFonts w:cs="Arial"/>
        </w:rPr>
        <w:t>la</w:t>
      </w:r>
      <w:proofErr w:type="gramEnd"/>
      <w:r w:rsidRPr="00882B05">
        <w:rPr>
          <w:rFonts w:cs="Arial"/>
        </w:rPr>
        <w:t xml:space="preserve"> TVA au taux en vigueur au jour de l’exécution de la prestation,</w:t>
      </w:r>
    </w:p>
    <w:p w14:paraId="7DC8F43A" w14:textId="77777777" w:rsidR="00105764" w:rsidRPr="00882B05" w:rsidRDefault="00105764" w:rsidP="00D7405D">
      <w:pPr>
        <w:pStyle w:val="Paragraphedeliste"/>
        <w:numPr>
          <w:ilvl w:val="0"/>
          <w:numId w:val="1"/>
        </w:numPr>
        <w:tabs>
          <w:tab w:val="clear" w:pos="540"/>
          <w:tab w:val="num" w:pos="1080"/>
        </w:tabs>
        <w:spacing w:after="0"/>
        <w:ind w:left="1080"/>
        <w:rPr>
          <w:rFonts w:cs="Arial"/>
        </w:rPr>
      </w:pPr>
      <w:proofErr w:type="gramStart"/>
      <w:r w:rsidRPr="00882B05">
        <w:rPr>
          <w:rFonts w:cs="Arial"/>
        </w:rPr>
        <w:t>les</w:t>
      </w:r>
      <w:proofErr w:type="gramEnd"/>
      <w:r w:rsidRPr="00882B05">
        <w:rPr>
          <w:rFonts w:cs="Arial"/>
        </w:rPr>
        <w:t xml:space="preserve"> taxes règlementaires en vigueur, afférentes à ce type de prestations,</w:t>
      </w:r>
    </w:p>
    <w:p w14:paraId="5726F936" w14:textId="77777777" w:rsidR="00F23885" w:rsidRPr="009A7C35" w:rsidRDefault="00F23885" w:rsidP="00D31D79">
      <w:pPr>
        <w:spacing w:before="0" w:after="0"/>
        <w:rPr>
          <w:sz w:val="20"/>
          <w:szCs w:val="20"/>
        </w:rPr>
      </w:pPr>
    </w:p>
    <w:p w14:paraId="0D33657C" w14:textId="77777777" w:rsidR="00B3398C" w:rsidRPr="009A7C35" w:rsidRDefault="00911DB8" w:rsidP="00EF2D4D">
      <w:pPr>
        <w:pStyle w:val="Titre2"/>
        <w:spacing w:before="120"/>
      </w:pPr>
      <w:bookmarkStart w:id="10" w:name="_Toc210818860"/>
      <w:r>
        <w:t>Echéancier</w:t>
      </w:r>
      <w:r w:rsidR="00B3398C" w:rsidRPr="009A7C35">
        <w:t xml:space="preserve"> de paiement</w:t>
      </w:r>
      <w:bookmarkEnd w:id="10"/>
    </w:p>
    <w:p w14:paraId="32B52659" w14:textId="72363404" w:rsidR="00EF2D4D" w:rsidRDefault="00B3398C" w:rsidP="00EF2D4D">
      <w:pPr>
        <w:spacing w:after="0"/>
      </w:pPr>
      <w:r w:rsidRPr="009A7C35">
        <w:t>Le paiement des prestations se fait par virement administratif</w:t>
      </w:r>
      <w:r w:rsidR="00105764">
        <w:t xml:space="preserve"> à date de réception </w:t>
      </w:r>
      <w:r w:rsidR="00105764" w:rsidRPr="002C0612">
        <w:t>de la facture</w:t>
      </w:r>
      <w:r w:rsidR="007425A9" w:rsidRPr="002C0612">
        <w:t xml:space="preserve">, établie après chaque </w:t>
      </w:r>
      <w:r w:rsidR="0044597D">
        <w:t>intervention annuelle</w:t>
      </w:r>
      <w:r w:rsidR="00105764" w:rsidRPr="002C0612">
        <w:t>.</w:t>
      </w:r>
    </w:p>
    <w:p w14:paraId="71B69CA7" w14:textId="77777777" w:rsidR="00EF2D4D" w:rsidRPr="009A7C35" w:rsidRDefault="00EF2D4D" w:rsidP="00EF2D4D">
      <w:pPr>
        <w:spacing w:after="0"/>
      </w:pPr>
    </w:p>
    <w:p w14:paraId="468BFF29" w14:textId="77777777" w:rsidR="00105764" w:rsidRPr="00882B05" w:rsidRDefault="00105764" w:rsidP="00EF2D4D">
      <w:pPr>
        <w:spacing w:after="0"/>
        <w:rPr>
          <w:rFonts w:cs="Arial"/>
        </w:rPr>
      </w:pPr>
      <w:r w:rsidRPr="00882B05">
        <w:rPr>
          <w:rFonts w:cs="Arial"/>
        </w:rPr>
        <w:lastRenderedPageBreak/>
        <w:t>Les factures seront établies en un original selon les règles prévues par la comptabilité publique.</w:t>
      </w:r>
      <w:r w:rsidRPr="00124701">
        <w:rPr>
          <w:spacing w:val="4"/>
        </w:rPr>
        <w:t xml:space="preserve"> </w:t>
      </w:r>
      <w:r w:rsidRPr="00882B05">
        <w:rPr>
          <w:rFonts w:cs="Arial"/>
        </w:rPr>
        <w:t xml:space="preserve">Elles comprendront outre les mentions légales, les renseignements suivants : </w:t>
      </w:r>
    </w:p>
    <w:p w14:paraId="03C89141" w14:textId="036AAF32" w:rsidR="00105764" w:rsidRDefault="00105764" w:rsidP="00EF2D4D">
      <w:pPr>
        <w:pStyle w:val="Paragraphedeliste"/>
        <w:numPr>
          <w:ilvl w:val="0"/>
          <w:numId w:val="1"/>
        </w:numPr>
        <w:tabs>
          <w:tab w:val="clear" w:pos="540"/>
          <w:tab w:val="num" w:pos="1080"/>
        </w:tabs>
        <w:spacing w:after="0"/>
        <w:ind w:left="1080"/>
        <w:rPr>
          <w:rFonts w:cs="Arial"/>
        </w:rPr>
      </w:pPr>
      <w:r w:rsidRPr="00882B05">
        <w:rPr>
          <w:rFonts w:cs="Arial"/>
        </w:rPr>
        <w:t>Numéro du marché,</w:t>
      </w:r>
    </w:p>
    <w:p w14:paraId="2ECFBCC6" w14:textId="3EF992E7" w:rsidR="0044597D" w:rsidRPr="00882B05" w:rsidRDefault="0044597D" w:rsidP="00EF2D4D">
      <w:pPr>
        <w:pStyle w:val="Paragraphedeliste"/>
        <w:numPr>
          <w:ilvl w:val="0"/>
          <w:numId w:val="1"/>
        </w:numPr>
        <w:tabs>
          <w:tab w:val="clear" w:pos="540"/>
          <w:tab w:val="num" w:pos="1080"/>
        </w:tabs>
        <w:spacing w:after="0"/>
        <w:ind w:left="1080"/>
        <w:rPr>
          <w:rFonts w:cs="Arial"/>
        </w:rPr>
      </w:pPr>
      <w:r>
        <w:rPr>
          <w:rFonts w:cs="Arial"/>
        </w:rPr>
        <w:t>Numéro d’engagement (</w:t>
      </w:r>
      <w:r w:rsidR="005F5601">
        <w:rPr>
          <w:rFonts w:cs="Arial"/>
        </w:rPr>
        <w:t>n° du contrat associé au marché qui sera différent chaque année et communiqué par INRAE à chaque reconduction)</w:t>
      </w:r>
    </w:p>
    <w:p w14:paraId="7379E800" w14:textId="2901FDED" w:rsidR="00105764" w:rsidRPr="00882B05" w:rsidRDefault="00105764" w:rsidP="00EF2D4D">
      <w:pPr>
        <w:spacing w:after="0"/>
        <w:rPr>
          <w:rFonts w:cs="Arial"/>
        </w:rPr>
      </w:pPr>
      <w:r w:rsidRPr="00882B05">
        <w:rPr>
          <w:rFonts w:cs="Arial"/>
        </w:rPr>
        <w:t>La réception des</w:t>
      </w:r>
      <w:r w:rsidR="005F5601">
        <w:rPr>
          <w:rFonts w:cs="Arial"/>
        </w:rPr>
        <w:t xml:space="preserve"> différents documents demandés à l’issue de chaque</w:t>
      </w:r>
      <w:r w:rsidR="0044597D">
        <w:rPr>
          <w:rFonts w:cs="Arial"/>
        </w:rPr>
        <w:t xml:space="preserve"> contrôle des équipements </w:t>
      </w:r>
      <w:r w:rsidRPr="00882B05">
        <w:rPr>
          <w:rFonts w:cs="Arial"/>
        </w:rPr>
        <w:t>conditionnera la mise en paiement de la facture.</w:t>
      </w:r>
    </w:p>
    <w:p w14:paraId="26C64C40" w14:textId="77777777" w:rsidR="005D4468" w:rsidRPr="00D426AD" w:rsidRDefault="005D4468" w:rsidP="00EF2D4D">
      <w:pPr>
        <w:spacing w:after="0"/>
        <w:rPr>
          <w:rFonts w:ascii="Arial" w:hAnsi="Arial" w:cs="Arial"/>
          <w:i/>
          <w:sz w:val="20"/>
          <w:szCs w:val="20"/>
        </w:rPr>
      </w:pPr>
    </w:p>
    <w:p w14:paraId="2067FDA8" w14:textId="77777777" w:rsidR="00B3398C" w:rsidRPr="009A7C35" w:rsidRDefault="00B3398C" w:rsidP="00D31D79">
      <w:pPr>
        <w:pStyle w:val="Titre2"/>
        <w:spacing w:before="0"/>
      </w:pPr>
      <w:r w:rsidRPr="009A7C35">
        <w:t xml:space="preserve"> </w:t>
      </w:r>
      <w:bookmarkStart w:id="11" w:name="_Toc210818861"/>
      <w:r w:rsidR="00526614" w:rsidRPr="009A7C35">
        <w:t>M</w:t>
      </w:r>
      <w:r w:rsidRPr="009A7C35">
        <w:t>odalités de paiement</w:t>
      </w:r>
      <w:bookmarkEnd w:id="11"/>
    </w:p>
    <w:p w14:paraId="507AD7AB" w14:textId="77777777" w:rsidR="00B3398C" w:rsidRPr="009A7C35" w:rsidRDefault="00B3398C" w:rsidP="00D31D79">
      <w:pPr>
        <w:widowControl w:val="0"/>
        <w:autoSpaceDE w:val="0"/>
        <w:autoSpaceDN w:val="0"/>
        <w:adjustRightInd w:val="0"/>
        <w:spacing w:after="0" w:line="200" w:lineRule="exact"/>
        <w:rPr>
          <w:rFonts w:ascii="Arial" w:hAnsi="Arial" w:cs="Arial"/>
          <w:sz w:val="20"/>
          <w:szCs w:val="20"/>
        </w:rPr>
      </w:pPr>
    </w:p>
    <w:p w14:paraId="13B09975" w14:textId="77777777" w:rsidR="00B3398C" w:rsidRDefault="00B3398C" w:rsidP="00D31D79">
      <w:pPr>
        <w:spacing w:after="0"/>
      </w:pPr>
      <w:r w:rsidRPr="009A7C35">
        <w:t xml:space="preserve">Le règlement du titulaire interviendra selon </w:t>
      </w:r>
      <w:r w:rsidR="00911DB8">
        <w:t>l’échéancier prévu</w:t>
      </w:r>
      <w:r w:rsidR="00AA1ADB">
        <w:t xml:space="preserve"> à l’article 7</w:t>
      </w:r>
      <w:r w:rsidR="00526614" w:rsidRPr="009A7C35">
        <w:t>.</w:t>
      </w:r>
      <w:r w:rsidRPr="009A7C35">
        <w:t xml:space="preserve">2 du présent document. </w:t>
      </w:r>
    </w:p>
    <w:p w14:paraId="277A954D" w14:textId="77777777" w:rsidR="003D6216" w:rsidRPr="003D6216" w:rsidRDefault="003D6216" w:rsidP="00D31D79">
      <w:pPr>
        <w:spacing w:after="0"/>
        <w:rPr>
          <w:b/>
          <w:u w:val="single"/>
        </w:rPr>
      </w:pPr>
      <w:r w:rsidRPr="003D6216">
        <w:rPr>
          <w:b/>
          <w:u w:val="single"/>
        </w:rPr>
        <w:t xml:space="preserve">Pour INRAE : </w:t>
      </w:r>
    </w:p>
    <w:p w14:paraId="737DF176" w14:textId="7A6FA0D9" w:rsidR="00CC6995" w:rsidRPr="00CC6995" w:rsidRDefault="00CC6995" w:rsidP="00D31D79">
      <w:pPr>
        <w:spacing w:after="0"/>
      </w:pPr>
      <w:r w:rsidRPr="00CC6995">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w:t>
      </w:r>
      <w:r w:rsidR="00FB1CF0">
        <w:t xml:space="preserve">obligatoirement </w:t>
      </w:r>
      <w:r w:rsidRPr="00CC6995">
        <w:t xml:space="preserve">leurs demandes de paiement sur le portail mutualisé de l’Etat Chorus Pro par dépôt </w:t>
      </w:r>
      <w:r w:rsidR="00BC6C36">
        <w:t xml:space="preserve">sur le site </w:t>
      </w:r>
      <w:hyperlink r:id="rId10" w:history="1">
        <w:r w:rsidR="00BC6C36" w:rsidRPr="00BC6C36">
          <w:rPr>
            <w:rStyle w:val="Lienhypertexte"/>
            <w:rFonts w:ascii="Arial" w:hAnsi="Arial" w:cs="Arial"/>
            <w:spacing w:val="4"/>
            <w:sz w:val="20"/>
            <w:szCs w:val="20"/>
          </w:rPr>
          <w:t>https://chorus-pro.gouv.fr</w:t>
        </w:r>
      </w:hyperlink>
      <w:r w:rsidRPr="00CC6995">
        <w:t>.</w:t>
      </w:r>
    </w:p>
    <w:p w14:paraId="41A520A5" w14:textId="77777777" w:rsidR="00B3398C" w:rsidRPr="009A7C35" w:rsidRDefault="00B3398C" w:rsidP="00D31D79">
      <w:pPr>
        <w:spacing w:after="0"/>
      </w:pPr>
      <w:r w:rsidRPr="009A7C35">
        <w:t xml:space="preserve">Les factures seront établies en un original selon les règles prévues par la comptabilité publique. Elles comprendront outre les mentions légales, les renseignements suivants : </w:t>
      </w:r>
    </w:p>
    <w:p w14:paraId="76E23F9E" w14:textId="77777777" w:rsidR="00CC6995" w:rsidRDefault="00CC6995" w:rsidP="00D7405D">
      <w:pPr>
        <w:pStyle w:val="Paragraphedeliste"/>
        <w:numPr>
          <w:ilvl w:val="0"/>
          <w:numId w:val="3"/>
        </w:numPr>
        <w:spacing w:after="0"/>
      </w:pPr>
      <w:r>
        <w:t xml:space="preserve">Le numéro SIRET du centre </w:t>
      </w:r>
      <w:r w:rsidR="00E4467E">
        <w:t>INRAE</w:t>
      </w:r>
      <w:r>
        <w:t xml:space="preserve"> </w:t>
      </w:r>
      <w:r w:rsidR="00BC6C36">
        <w:t>bénéficiaire</w:t>
      </w:r>
    </w:p>
    <w:p w14:paraId="60AF7CE5" w14:textId="78BC0190" w:rsidR="00CC6995" w:rsidRDefault="005D4468" w:rsidP="00D7405D">
      <w:pPr>
        <w:pStyle w:val="Paragraphedeliste"/>
        <w:numPr>
          <w:ilvl w:val="0"/>
          <w:numId w:val="3"/>
        </w:numPr>
        <w:spacing w:after="0"/>
      </w:pPr>
      <w:r w:rsidRPr="009A7C35">
        <w:t>Le numéro du marché</w:t>
      </w:r>
      <w:r w:rsidR="005F5601">
        <w:t xml:space="preserve"> et le numéro d’engagement</w:t>
      </w:r>
    </w:p>
    <w:p w14:paraId="475737A1" w14:textId="77777777" w:rsidR="00CC6995" w:rsidRDefault="00B3398C" w:rsidP="00D7405D">
      <w:pPr>
        <w:pStyle w:val="Paragraphedeliste"/>
        <w:numPr>
          <w:ilvl w:val="0"/>
          <w:numId w:val="3"/>
        </w:numPr>
        <w:spacing w:after="0"/>
      </w:pPr>
      <w:r w:rsidRPr="00CC6995">
        <w:t>Les prestations réalisées ou fournitures livrées</w:t>
      </w:r>
    </w:p>
    <w:p w14:paraId="77FDFE8A" w14:textId="77777777" w:rsidR="00CC6995" w:rsidRDefault="00B3398C" w:rsidP="00D7405D">
      <w:pPr>
        <w:pStyle w:val="Paragraphedeliste"/>
        <w:numPr>
          <w:ilvl w:val="0"/>
          <w:numId w:val="3"/>
        </w:numPr>
        <w:spacing w:after="0"/>
      </w:pPr>
      <w:r w:rsidRPr="00CC6995">
        <w:t>Le montant HT des prestations ou fournitures</w:t>
      </w:r>
    </w:p>
    <w:p w14:paraId="661AF947" w14:textId="77777777" w:rsidR="00CC6995" w:rsidRDefault="00B3398C" w:rsidP="00D7405D">
      <w:pPr>
        <w:pStyle w:val="Paragraphedeliste"/>
        <w:numPr>
          <w:ilvl w:val="0"/>
          <w:numId w:val="3"/>
        </w:numPr>
        <w:spacing w:after="0"/>
      </w:pPr>
      <w:r w:rsidRPr="00CC6995">
        <w:t>Le taux et le montant de la TVA</w:t>
      </w:r>
    </w:p>
    <w:p w14:paraId="4FB60F0D" w14:textId="32949DFE" w:rsidR="00B3398C" w:rsidRPr="00EF2D4D" w:rsidRDefault="00B3398C" w:rsidP="00D31D79">
      <w:pPr>
        <w:pStyle w:val="Paragraphedeliste"/>
        <w:numPr>
          <w:ilvl w:val="0"/>
          <w:numId w:val="3"/>
        </w:numPr>
        <w:spacing w:after="0"/>
      </w:pPr>
      <w:r w:rsidRPr="00CC6995">
        <w:t>Le montant total TTC</w:t>
      </w:r>
    </w:p>
    <w:p w14:paraId="4773C9B0" w14:textId="41BB7C5B" w:rsidR="00FB1CF0" w:rsidRDefault="00FB1CF0" w:rsidP="00D31D79">
      <w:pPr>
        <w:spacing w:after="0" w:line="276" w:lineRule="auto"/>
        <w:rPr>
          <w:bCs/>
          <w:iCs/>
          <w:szCs w:val="24"/>
        </w:rPr>
      </w:pPr>
      <w:r w:rsidRPr="00FB1CF0">
        <w:rPr>
          <w:bCs/>
          <w:iCs/>
          <w:szCs w:val="24"/>
        </w:rPr>
        <w:t xml:space="preserve">Le SIRET à utiliser pour le dépôt </w:t>
      </w:r>
      <w:r>
        <w:rPr>
          <w:bCs/>
          <w:iCs/>
          <w:szCs w:val="24"/>
        </w:rPr>
        <w:t xml:space="preserve">sur CHORUS </w:t>
      </w:r>
      <w:r w:rsidRPr="00FB1CF0">
        <w:rPr>
          <w:bCs/>
          <w:iCs/>
          <w:szCs w:val="24"/>
        </w:rPr>
        <w:t>est celui du centre payeur où se trouve notre agence comptable soit</w:t>
      </w:r>
      <w:r>
        <w:rPr>
          <w:bCs/>
          <w:iCs/>
          <w:szCs w:val="24"/>
        </w:rPr>
        <w:t xml:space="preserve"> : </w:t>
      </w:r>
      <w:r w:rsidRPr="00FB1CF0">
        <w:rPr>
          <w:b/>
          <w:bCs/>
          <w:iCs/>
          <w:szCs w:val="24"/>
        </w:rPr>
        <w:t>180</w:t>
      </w:r>
      <w:r>
        <w:rPr>
          <w:b/>
          <w:bCs/>
          <w:iCs/>
          <w:szCs w:val="24"/>
        </w:rPr>
        <w:t> </w:t>
      </w:r>
      <w:r w:rsidRPr="00FB1CF0">
        <w:rPr>
          <w:b/>
          <w:bCs/>
          <w:iCs/>
          <w:szCs w:val="24"/>
        </w:rPr>
        <w:t>070 039 01274</w:t>
      </w:r>
      <w:r w:rsidRPr="00FB1CF0">
        <w:rPr>
          <w:bCs/>
          <w:iCs/>
          <w:szCs w:val="24"/>
        </w:rPr>
        <w:t>.</w:t>
      </w:r>
      <w:r w:rsidR="00873A76">
        <w:rPr>
          <w:bCs/>
          <w:iCs/>
          <w:szCs w:val="24"/>
        </w:rPr>
        <w:t xml:space="preserve"> Le numéro d’engagement indispensable sera communiqué par INRAE avant programmation des contrôles.</w:t>
      </w:r>
    </w:p>
    <w:p w14:paraId="40A28F56" w14:textId="3761B9E6" w:rsidR="00D31D79" w:rsidRPr="00FB1CF0" w:rsidRDefault="00FB1CF0" w:rsidP="00D31D79">
      <w:pPr>
        <w:spacing w:after="0" w:line="276" w:lineRule="auto"/>
        <w:rPr>
          <w:bCs/>
          <w:iCs/>
          <w:szCs w:val="24"/>
        </w:rPr>
      </w:pPr>
      <w:r w:rsidRPr="00FB1CF0">
        <w:rPr>
          <w:bCs/>
          <w:iCs/>
          <w:szCs w:val="24"/>
        </w:rPr>
        <w:t>L'adresse de facturation est :</w:t>
      </w:r>
    </w:p>
    <w:p w14:paraId="5500830E" w14:textId="77777777" w:rsidR="00FB1CF0" w:rsidRPr="00FB1CF0" w:rsidRDefault="00FB1CF0" w:rsidP="00D31D79">
      <w:pPr>
        <w:spacing w:before="0" w:after="0"/>
        <w:ind w:left="2880"/>
        <w:rPr>
          <w:bCs/>
          <w:iCs/>
          <w:szCs w:val="24"/>
        </w:rPr>
      </w:pPr>
      <w:r w:rsidRPr="00FB1CF0">
        <w:rPr>
          <w:bCs/>
          <w:iCs/>
          <w:szCs w:val="24"/>
        </w:rPr>
        <w:t>INRAE SBFC - Centre de Nouvelle-Aquitaine-Bordeaux</w:t>
      </w:r>
    </w:p>
    <w:p w14:paraId="0FB08356" w14:textId="77777777" w:rsidR="00FB1CF0" w:rsidRPr="00FB1CF0" w:rsidRDefault="00FB1CF0" w:rsidP="00D31D79">
      <w:pPr>
        <w:spacing w:before="0" w:after="0"/>
        <w:ind w:left="2880"/>
        <w:rPr>
          <w:bCs/>
          <w:iCs/>
          <w:szCs w:val="24"/>
        </w:rPr>
      </w:pPr>
      <w:r w:rsidRPr="00FB1CF0">
        <w:rPr>
          <w:bCs/>
          <w:iCs/>
          <w:szCs w:val="24"/>
        </w:rPr>
        <w:t xml:space="preserve">71 avenue </w:t>
      </w:r>
      <w:proofErr w:type="spellStart"/>
      <w:r w:rsidRPr="00FB1CF0">
        <w:rPr>
          <w:bCs/>
          <w:iCs/>
          <w:szCs w:val="24"/>
        </w:rPr>
        <w:t>Bourlaux</w:t>
      </w:r>
      <w:proofErr w:type="spellEnd"/>
      <w:r w:rsidRPr="00FB1CF0">
        <w:rPr>
          <w:bCs/>
          <w:iCs/>
          <w:szCs w:val="24"/>
        </w:rPr>
        <w:t xml:space="preserve"> - CS 20032</w:t>
      </w:r>
    </w:p>
    <w:p w14:paraId="1DE36A94" w14:textId="6A505C01" w:rsidR="00FB1CF0" w:rsidRPr="00FB1CF0" w:rsidRDefault="00FB1CF0" w:rsidP="00D31D79">
      <w:pPr>
        <w:spacing w:before="0" w:after="0"/>
        <w:ind w:left="2880"/>
        <w:rPr>
          <w:bCs/>
          <w:iCs/>
          <w:szCs w:val="24"/>
        </w:rPr>
      </w:pPr>
      <w:r w:rsidRPr="00FB1CF0">
        <w:rPr>
          <w:bCs/>
          <w:iCs/>
          <w:szCs w:val="24"/>
        </w:rPr>
        <w:t>33882 VILLENAVE D'ORNON CEDEX</w:t>
      </w:r>
    </w:p>
    <w:p w14:paraId="01864A62" w14:textId="27E67A37" w:rsidR="00873A76" w:rsidRPr="00D31D79" w:rsidRDefault="00B3398C" w:rsidP="00D31D79">
      <w:pPr>
        <w:spacing w:after="0"/>
        <w:rPr>
          <w:color w:val="C00000"/>
        </w:rPr>
      </w:pPr>
      <w:r w:rsidRPr="009A7C35">
        <w:t xml:space="preserve">L’ordonnateur chargé d’émettre le titre de paiement est </w:t>
      </w:r>
      <w:r w:rsidR="001D4D11">
        <w:t xml:space="preserve">le </w:t>
      </w:r>
      <w:r w:rsidR="00F84DE2">
        <w:t>Président du C</w:t>
      </w:r>
      <w:r w:rsidRPr="009A7C35">
        <w:t>entre</w:t>
      </w:r>
      <w:r w:rsidR="002B5C0D">
        <w:t xml:space="preserve"> </w:t>
      </w:r>
      <w:r w:rsidR="00E4467E">
        <w:t>INRAE</w:t>
      </w:r>
      <w:r w:rsidR="002B5C0D">
        <w:t xml:space="preserve"> </w:t>
      </w:r>
      <w:r w:rsidR="002B5C0D" w:rsidRPr="009A7C35">
        <w:t>de</w:t>
      </w:r>
      <w:r w:rsidR="002C0612">
        <w:t xml:space="preserve"> Nouvelle-Aquitaine-</w:t>
      </w:r>
      <w:r w:rsidR="007425A9">
        <w:t xml:space="preserve">Poitiers. </w:t>
      </w:r>
      <w:r w:rsidRPr="007425A9">
        <w:t xml:space="preserve"> </w:t>
      </w:r>
    </w:p>
    <w:p w14:paraId="44608705" w14:textId="4FEB6061" w:rsidR="00873A76" w:rsidRDefault="00B3398C" w:rsidP="00D31D79">
      <w:pPr>
        <w:spacing w:after="0"/>
      </w:pPr>
      <w:r w:rsidRPr="009A7C35">
        <w:t xml:space="preserve">Le paiement sera effectué par virement administratif au compte indiqué par le titulaire ci-dessous </w:t>
      </w:r>
      <w:r w:rsidRPr="009A7C35">
        <w:rPr>
          <w:b/>
          <w:bCs/>
        </w:rPr>
        <w:t>(joindre un RIB)</w:t>
      </w:r>
      <w:r w:rsidRPr="009A7C35">
        <w:t xml:space="preserve"> : </w:t>
      </w:r>
    </w:p>
    <w:p w14:paraId="51AC178A" w14:textId="4C772C1D" w:rsidR="00B3398C" w:rsidRPr="009A7C35" w:rsidRDefault="00B3398C" w:rsidP="00D31D79">
      <w:pPr>
        <w:spacing w:after="0" w:line="360" w:lineRule="auto"/>
        <w:ind w:left="1440"/>
      </w:pPr>
      <w:r w:rsidRPr="009A7C35">
        <w:t>Banque</w:t>
      </w:r>
      <w:r w:rsidRPr="009A7C35">
        <w:tab/>
        <w:t>: ………………………………</w:t>
      </w:r>
    </w:p>
    <w:p w14:paraId="520FEA17" w14:textId="77777777" w:rsidR="00B3398C" w:rsidRPr="009A7C35" w:rsidRDefault="00B3398C" w:rsidP="00D31D79">
      <w:pPr>
        <w:spacing w:after="0" w:line="360" w:lineRule="auto"/>
        <w:ind w:left="1440"/>
      </w:pPr>
      <w:r w:rsidRPr="009A7C35">
        <w:t>Code Banque</w:t>
      </w:r>
      <w:proofErr w:type="gramStart"/>
      <w:r w:rsidRPr="009A7C35">
        <w:tab/>
        <w:t>:…</w:t>
      </w:r>
      <w:proofErr w:type="gramEnd"/>
      <w:r w:rsidRPr="009A7C35">
        <w:t>………………………..</w:t>
      </w:r>
    </w:p>
    <w:p w14:paraId="47944FD8" w14:textId="77777777" w:rsidR="00B3398C" w:rsidRPr="009A7C35" w:rsidRDefault="00B3398C" w:rsidP="00D31D79">
      <w:pPr>
        <w:spacing w:after="0" w:line="360" w:lineRule="auto"/>
        <w:ind w:left="1440"/>
      </w:pPr>
      <w:r w:rsidRPr="009A7C35">
        <w:t>Code Guichet</w:t>
      </w:r>
      <w:r w:rsidRPr="009A7C35">
        <w:tab/>
        <w:t>: ……………………….</w:t>
      </w:r>
    </w:p>
    <w:p w14:paraId="1FC7E2FE" w14:textId="77777777" w:rsidR="00B3398C" w:rsidRPr="009A7C35" w:rsidRDefault="00B3398C" w:rsidP="00D31D79">
      <w:pPr>
        <w:spacing w:after="0" w:line="360" w:lineRule="auto"/>
        <w:ind w:left="1440"/>
      </w:pPr>
      <w:r w:rsidRPr="009A7C35">
        <w:t>Compte n°</w:t>
      </w:r>
      <w:proofErr w:type="gramStart"/>
      <w:r w:rsidRPr="009A7C35">
        <w:tab/>
        <w:t>:…</w:t>
      </w:r>
      <w:proofErr w:type="gramEnd"/>
      <w:r w:rsidRPr="009A7C35">
        <w:t>……………………</w:t>
      </w:r>
    </w:p>
    <w:p w14:paraId="525BF5BA" w14:textId="77777777" w:rsidR="00B3398C" w:rsidRDefault="00B3398C" w:rsidP="00D31D79">
      <w:pPr>
        <w:spacing w:after="0" w:line="360" w:lineRule="auto"/>
        <w:ind w:left="1440"/>
      </w:pPr>
      <w:r w:rsidRPr="009A7C35">
        <w:t>Clé</w:t>
      </w:r>
      <w:proofErr w:type="gramStart"/>
      <w:r w:rsidRPr="009A7C35">
        <w:tab/>
        <w:t>:…</w:t>
      </w:r>
      <w:proofErr w:type="gramEnd"/>
      <w:r w:rsidRPr="009A7C35">
        <w:t>…………………….</w:t>
      </w:r>
    </w:p>
    <w:p w14:paraId="22C79D14" w14:textId="77777777" w:rsidR="0041197F" w:rsidRDefault="0041197F" w:rsidP="00D31D79"/>
    <w:p w14:paraId="2CEEB70A" w14:textId="70CDD093" w:rsidR="00B3398C" w:rsidRDefault="005D4468" w:rsidP="00D31D79">
      <w:r w:rsidRPr="009A7C35">
        <w:t xml:space="preserve">Le délai global de paiement est de </w:t>
      </w:r>
      <w:r w:rsidR="00AA3FDE">
        <w:t>30</w:t>
      </w:r>
      <w:r w:rsidRPr="009A7C35">
        <w:t xml:space="preserve"> jours maximum à compter de la réception de la facture dans les formes prescrites.</w:t>
      </w:r>
    </w:p>
    <w:p w14:paraId="1BDAD13D" w14:textId="5EE1BD8A" w:rsidR="00B3398C" w:rsidRPr="009A7C35" w:rsidRDefault="00B3398C" w:rsidP="00D31D79">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3499CE87"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52CDAB3D" w14:textId="77777777" w:rsidR="003D6216" w:rsidRPr="00D31D79" w:rsidRDefault="003D6216" w:rsidP="00D31D79">
      <w:pPr>
        <w:pStyle w:val="Titre1"/>
        <w:numPr>
          <w:ilvl w:val="0"/>
          <w:numId w:val="0"/>
        </w:numPr>
        <w:spacing w:before="0"/>
        <w:ind w:left="360" w:hanging="360"/>
        <w:rPr>
          <w:b/>
          <w:i/>
        </w:rPr>
      </w:pPr>
    </w:p>
    <w:p w14:paraId="69A7E16B" w14:textId="49F2D10B" w:rsidR="00B3398C" w:rsidRPr="009A7C35" w:rsidRDefault="00B3398C" w:rsidP="00D31D79">
      <w:pPr>
        <w:pStyle w:val="Titre1"/>
        <w:spacing w:before="0"/>
        <w:rPr>
          <w:i/>
          <w:iCs/>
        </w:rPr>
      </w:pPr>
      <w:bookmarkStart w:id="12" w:name="_Toc210818862"/>
      <w:r w:rsidRPr="009A7C35">
        <w:t>AVANCE</w:t>
      </w:r>
      <w:bookmarkEnd w:id="12"/>
    </w:p>
    <w:p w14:paraId="37205F0E" w14:textId="77777777" w:rsidR="00D31D79" w:rsidRDefault="00D31D79" w:rsidP="00D31D79">
      <w:pPr>
        <w:spacing w:before="0" w:after="0"/>
      </w:pPr>
    </w:p>
    <w:p w14:paraId="687FC58C" w14:textId="651A2593" w:rsidR="00F85B11" w:rsidRPr="008630D8" w:rsidRDefault="00F85B11" w:rsidP="00D31D79">
      <w:pPr>
        <w:spacing w:before="0" w:after="0"/>
      </w:pPr>
      <w:r w:rsidRPr="008630D8">
        <w:t>Le titulaire bénéficie d’une avance, dans les conditions de</w:t>
      </w:r>
      <w:r w:rsidR="002B5C0D" w:rsidRPr="008630D8">
        <w:t xml:space="preserve">s </w:t>
      </w:r>
      <w:r w:rsidRPr="008630D8">
        <w:t>articl</w:t>
      </w:r>
      <w:r w:rsidR="002B5C0D" w:rsidRPr="008630D8">
        <w:t>es R2191-3</w:t>
      </w:r>
      <w:r w:rsidR="006A466F" w:rsidRPr="008630D8">
        <w:t xml:space="preserve"> </w:t>
      </w:r>
      <w:r w:rsidR="002B5C0D" w:rsidRPr="008630D8">
        <w:t xml:space="preserve">et </w:t>
      </w:r>
      <w:r w:rsidR="00A0496B">
        <w:t>suivants</w:t>
      </w:r>
      <w:r w:rsidR="002B5C0D" w:rsidRPr="008630D8">
        <w:t xml:space="preserve"> </w:t>
      </w:r>
      <w:r w:rsidR="000B7E1A">
        <w:t>du Code de la Commande Publique</w:t>
      </w:r>
      <w:r w:rsidRPr="008630D8">
        <w:t>, si le montant initial du marché est supérieur à 50 000 € HT</w:t>
      </w:r>
      <w:r w:rsidR="00FB2BDC" w:rsidRPr="008630D8">
        <w:t xml:space="preserve"> et si le délai d’exécution est supérieur à 2 mois</w:t>
      </w:r>
      <w:r w:rsidRPr="008630D8">
        <w:t xml:space="preserve">, sauf renonciation expresse </w:t>
      </w:r>
      <w:r w:rsidR="005144E6" w:rsidRPr="008630D8">
        <w:t xml:space="preserve">du titulaire </w:t>
      </w:r>
      <w:r w:rsidRPr="008630D8">
        <w:t xml:space="preserve">en page 2 du présent document. Le </w:t>
      </w:r>
      <w:r w:rsidR="00A0496B">
        <w:t xml:space="preserve">montant de l’avance est fixé à </w:t>
      </w:r>
      <w:r w:rsidR="007425A9" w:rsidRPr="007425A9">
        <w:t>5</w:t>
      </w:r>
      <w:r w:rsidRPr="008630D8">
        <w:t>%</w:t>
      </w:r>
      <w:r w:rsidR="00A0496B">
        <w:t xml:space="preserve"> (</w:t>
      </w:r>
      <w:r w:rsidRPr="008630D8">
        <w:t>du montant initial TTC du marché.</w:t>
      </w:r>
    </w:p>
    <w:p w14:paraId="08CA797C" w14:textId="77777777" w:rsidR="00303880" w:rsidRPr="00D31D79" w:rsidRDefault="00303880" w:rsidP="00D31D79">
      <w:pPr>
        <w:pStyle w:val="Titre1"/>
        <w:numPr>
          <w:ilvl w:val="0"/>
          <w:numId w:val="0"/>
        </w:numPr>
        <w:spacing w:before="0"/>
        <w:ind w:left="360" w:hanging="360"/>
        <w:rPr>
          <w:b/>
          <w:i/>
        </w:rPr>
      </w:pPr>
    </w:p>
    <w:p w14:paraId="5AA3338E" w14:textId="77777777" w:rsidR="00B3398C" w:rsidRPr="009A7C35" w:rsidRDefault="00B3398C" w:rsidP="00D31D79">
      <w:pPr>
        <w:pStyle w:val="Titre1"/>
        <w:spacing w:before="0"/>
        <w:rPr>
          <w:i/>
          <w:iCs/>
        </w:rPr>
      </w:pPr>
      <w:bookmarkStart w:id="13" w:name="_Toc210818863"/>
      <w:r w:rsidRPr="009A7C35">
        <w:t>PROPRIÉTÉ INTELLECTUELLE</w:t>
      </w:r>
      <w:bookmarkEnd w:id="13"/>
      <w:r w:rsidRPr="009A7C35">
        <w:t xml:space="preserve"> </w:t>
      </w:r>
    </w:p>
    <w:p w14:paraId="6AA9B993" w14:textId="77777777" w:rsidR="00D31D79" w:rsidRDefault="00D31D79" w:rsidP="00D31D79">
      <w:pPr>
        <w:widowControl w:val="0"/>
        <w:autoSpaceDE w:val="0"/>
        <w:autoSpaceDN w:val="0"/>
        <w:adjustRightInd w:val="0"/>
        <w:spacing w:before="0" w:after="0" w:line="200" w:lineRule="exact"/>
      </w:pPr>
    </w:p>
    <w:p w14:paraId="4500CBC3" w14:textId="0D49FE34" w:rsidR="00D31D79" w:rsidRPr="002C0612" w:rsidRDefault="007425A9" w:rsidP="00D31D79">
      <w:pPr>
        <w:widowControl w:val="0"/>
        <w:autoSpaceDE w:val="0"/>
        <w:autoSpaceDN w:val="0"/>
        <w:adjustRightInd w:val="0"/>
        <w:spacing w:before="0" w:after="0" w:line="200" w:lineRule="exact"/>
      </w:pPr>
      <w:r w:rsidRPr="002C0612">
        <w:t>Sans objet</w:t>
      </w:r>
    </w:p>
    <w:p w14:paraId="4804B83B" w14:textId="77777777" w:rsidR="00D31D79" w:rsidRPr="00D31D79" w:rsidRDefault="00D31D79" w:rsidP="00D31D79">
      <w:pPr>
        <w:pStyle w:val="Titre1"/>
        <w:numPr>
          <w:ilvl w:val="0"/>
          <w:numId w:val="0"/>
        </w:numPr>
        <w:spacing w:before="0"/>
        <w:ind w:left="360" w:hanging="360"/>
        <w:rPr>
          <w:iCs/>
        </w:rPr>
      </w:pPr>
    </w:p>
    <w:p w14:paraId="6A3A743F" w14:textId="7279DC48" w:rsidR="00B3398C" w:rsidRPr="006A466F" w:rsidRDefault="00B3398C" w:rsidP="00D31D79">
      <w:pPr>
        <w:pStyle w:val="Titre1"/>
        <w:spacing w:before="0"/>
        <w:rPr>
          <w:iCs/>
        </w:rPr>
      </w:pPr>
      <w:bookmarkStart w:id="14" w:name="_Toc210818864"/>
      <w:r w:rsidRPr="009A7C35">
        <w:t>GARANT</w:t>
      </w:r>
      <w:r w:rsidR="007425A9">
        <w:t>IE</w:t>
      </w:r>
      <w:bookmarkEnd w:id="14"/>
    </w:p>
    <w:p w14:paraId="3B9F906C" w14:textId="77777777" w:rsidR="00D31D79" w:rsidRDefault="00D31D79" w:rsidP="00D31D79">
      <w:pPr>
        <w:spacing w:before="0" w:after="0"/>
      </w:pPr>
    </w:p>
    <w:p w14:paraId="619D8F80" w14:textId="0C412E72" w:rsidR="003D038F" w:rsidRDefault="007425A9" w:rsidP="00D31D79">
      <w:pPr>
        <w:spacing w:before="0" w:after="0"/>
      </w:pPr>
      <w:r>
        <w:t>Sans objet</w:t>
      </w:r>
    </w:p>
    <w:p w14:paraId="2D241C74" w14:textId="77777777" w:rsidR="00D31D79" w:rsidRDefault="00D31D79" w:rsidP="00D31D79">
      <w:pPr>
        <w:pStyle w:val="Titre1"/>
        <w:numPr>
          <w:ilvl w:val="0"/>
          <w:numId w:val="0"/>
        </w:numPr>
        <w:spacing w:before="0"/>
      </w:pPr>
    </w:p>
    <w:p w14:paraId="632BBCA0" w14:textId="04DCFEB5" w:rsidR="00B3398C" w:rsidRPr="00D31D79" w:rsidRDefault="00B3398C" w:rsidP="00D7405D">
      <w:pPr>
        <w:pStyle w:val="Titre1"/>
        <w:spacing w:before="0"/>
      </w:pPr>
      <w:bookmarkStart w:id="15" w:name="_Toc210818865"/>
      <w:r w:rsidRPr="009A7C35">
        <w:t>LITIGES</w:t>
      </w:r>
      <w:bookmarkEnd w:id="15"/>
    </w:p>
    <w:p w14:paraId="53364C4E" w14:textId="77777777" w:rsidR="00D31D79" w:rsidRDefault="00D31D79" w:rsidP="00D31D79">
      <w:pPr>
        <w:spacing w:before="0" w:after="0"/>
        <w:rPr>
          <w:rFonts w:cs="Arial"/>
        </w:rPr>
      </w:pPr>
    </w:p>
    <w:p w14:paraId="1FF022AA" w14:textId="7374643C" w:rsidR="007425A9" w:rsidRPr="0014474A" w:rsidRDefault="007425A9" w:rsidP="00D31D79">
      <w:pPr>
        <w:spacing w:before="0" w:after="0"/>
        <w:rPr>
          <w:rFonts w:cs="Arial"/>
        </w:rPr>
      </w:pPr>
      <w:r w:rsidRPr="0014474A">
        <w:rPr>
          <w:rFonts w:cs="Arial"/>
        </w:rPr>
        <w:t>En cas de différend né à l’occasion de l’exécution du présent marché, les parties s’efforceront de trouver un accord amiable à leur litige.</w:t>
      </w:r>
    </w:p>
    <w:p w14:paraId="5A6E93BF" w14:textId="77777777" w:rsidR="007425A9" w:rsidRPr="0014474A" w:rsidRDefault="007425A9" w:rsidP="00D31D79">
      <w:pPr>
        <w:spacing w:before="0" w:after="0"/>
        <w:rPr>
          <w:rFonts w:cs="Arial"/>
        </w:rPr>
      </w:pPr>
      <w:r w:rsidRPr="0014474A">
        <w:rPr>
          <w:rFonts w:cs="Arial"/>
        </w:rPr>
        <w:t xml:space="preserve">A défaut d’accord, le tribunal administratif </w:t>
      </w:r>
      <w:r>
        <w:rPr>
          <w:rFonts w:cs="Arial"/>
        </w:rPr>
        <w:t xml:space="preserve">de Poitiers </w:t>
      </w:r>
      <w:r w:rsidRPr="0014474A">
        <w:rPr>
          <w:rFonts w:cs="Arial"/>
        </w:rPr>
        <w:t>est seul compétent.</w:t>
      </w:r>
    </w:p>
    <w:p w14:paraId="5F26E4DF" w14:textId="77777777" w:rsidR="007425A9" w:rsidRDefault="007425A9" w:rsidP="00D31D79">
      <w:pPr>
        <w:widowControl w:val="0"/>
        <w:autoSpaceDE w:val="0"/>
        <w:autoSpaceDN w:val="0"/>
        <w:adjustRightInd w:val="0"/>
        <w:spacing w:before="0" w:after="0" w:line="200" w:lineRule="exact"/>
        <w:rPr>
          <w:rFonts w:ascii="Arial" w:hAnsi="Arial" w:cs="Arial"/>
          <w:sz w:val="20"/>
          <w:szCs w:val="20"/>
        </w:rPr>
      </w:pPr>
    </w:p>
    <w:p w14:paraId="72271AB9" w14:textId="77777777" w:rsidR="007425A9" w:rsidRPr="009A7C35" w:rsidRDefault="007425A9" w:rsidP="00D31D79">
      <w:pPr>
        <w:widowControl w:val="0"/>
        <w:autoSpaceDE w:val="0"/>
        <w:autoSpaceDN w:val="0"/>
        <w:adjustRightInd w:val="0"/>
        <w:spacing w:before="0" w:after="0" w:line="200" w:lineRule="exact"/>
        <w:rPr>
          <w:rFonts w:ascii="Arial" w:hAnsi="Arial" w:cs="Arial"/>
          <w:sz w:val="20"/>
          <w:szCs w:val="20"/>
        </w:rPr>
      </w:pPr>
    </w:p>
    <w:sectPr w:rsidR="007425A9" w:rsidRPr="009A7C35"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4CF44" w14:textId="77777777" w:rsidR="00C51553" w:rsidRDefault="00C51553">
      <w:r>
        <w:separator/>
      </w:r>
    </w:p>
  </w:endnote>
  <w:endnote w:type="continuationSeparator" w:id="0">
    <w:p w14:paraId="66737C3A" w14:textId="77777777" w:rsidR="00C51553" w:rsidRDefault="00C5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 LT Pro LightCn">
    <w:panose1 w:val="020B0406020202020204"/>
    <w:charset w:val="00"/>
    <w:family w:val="swiss"/>
    <w:notTrueType/>
    <w:pitch w:val="variable"/>
    <w:sig w:usb0="800000A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B42B4"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98AEBCD"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0297" w14:textId="2CE2010D"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E6EF0">
      <w:rPr>
        <w:rStyle w:val="Numrodepage"/>
        <w:noProof/>
      </w:rPr>
      <w:t>7</w:t>
    </w:r>
    <w:r>
      <w:rPr>
        <w:rStyle w:val="Numrodepage"/>
      </w:rPr>
      <w:fldChar w:fldCharType="end"/>
    </w:r>
  </w:p>
  <w:p w14:paraId="337A287B" w14:textId="77777777" w:rsidR="005E7AE7" w:rsidRDefault="005E7AE7"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1723" w14:textId="77777777" w:rsidR="00C51553" w:rsidRDefault="00C51553">
      <w:r>
        <w:separator/>
      </w:r>
    </w:p>
  </w:footnote>
  <w:footnote w:type="continuationSeparator" w:id="0">
    <w:p w14:paraId="152B6835" w14:textId="77777777" w:rsidR="00C51553" w:rsidRDefault="00C51553">
      <w:r>
        <w:continuationSeparator/>
      </w:r>
    </w:p>
  </w:footnote>
  <w:footnote w:id="1">
    <w:p w14:paraId="7DDA422C" w14:textId="77777777" w:rsidR="005E7AE7" w:rsidRPr="00460E17" w:rsidRDefault="005E7A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w:t>
      </w:r>
      <w:r w:rsidR="00460E17" w:rsidRPr="00460E17">
        <w:rPr>
          <w:i/>
          <w:sz w:val="18"/>
          <w:szCs w:val="18"/>
        </w:rPr>
        <w:t>S</w:t>
      </w:r>
      <w:r w:rsidRPr="00460E17">
        <w:rPr>
          <w:i/>
          <w:sz w:val="18"/>
          <w:szCs w:val="18"/>
        </w:rPr>
        <w:t>ignature et cachet commercial du titulaire avec mention d</w:t>
      </w:r>
      <w:r w:rsidR="00460E17">
        <w:rPr>
          <w:i/>
          <w:sz w:val="18"/>
          <w:szCs w:val="18"/>
        </w:rPr>
        <w:t>es nom et qualité du signataire</w:t>
      </w:r>
    </w:p>
  </w:footnote>
  <w:footnote w:id="2">
    <w:p w14:paraId="3929909D" w14:textId="77777777" w:rsidR="00E37210" w:rsidRPr="00460E17" w:rsidRDefault="00E37210"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823334"/>
    <w:multiLevelType w:val="hybridMultilevel"/>
    <w:tmpl w:val="5C8839D0"/>
    <w:lvl w:ilvl="0" w:tplc="C60AE0B6">
      <w:numFmt w:val="bullet"/>
      <w:lvlText w:val="-"/>
      <w:lvlJc w:val="left"/>
      <w:pPr>
        <w:ind w:left="1068" w:hanging="360"/>
      </w:pPr>
      <w:rPr>
        <w:rFonts w:ascii="AvenirNext LT Pro Cn" w:eastAsiaTheme="minorHAnsi" w:hAnsi="AvenirNext LT Pro Cn" w:cstheme="minorHAns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3F9E4807"/>
    <w:multiLevelType w:val="multilevel"/>
    <w:tmpl w:val="048A810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9D357D2"/>
    <w:multiLevelType w:val="hybridMultilevel"/>
    <w:tmpl w:val="FAA2A294"/>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4802725">
    <w:abstractNumId w:val="3"/>
  </w:num>
  <w:num w:numId="2" w16cid:durableId="1395346617">
    <w:abstractNumId w:val="0"/>
  </w:num>
  <w:num w:numId="3" w16cid:durableId="1395540227">
    <w:abstractNumId w:val="4"/>
  </w:num>
  <w:num w:numId="4" w16cid:durableId="1051268447">
    <w:abstractNumId w:val="2"/>
  </w:num>
  <w:num w:numId="5" w16cid:durableId="14750265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9322A"/>
    <w:rsid w:val="00096E84"/>
    <w:rsid w:val="000A175F"/>
    <w:rsid w:val="000A70CD"/>
    <w:rsid w:val="000A7363"/>
    <w:rsid w:val="000B7E1A"/>
    <w:rsid w:val="000E0421"/>
    <w:rsid w:val="000E5048"/>
    <w:rsid w:val="00105764"/>
    <w:rsid w:val="00134A5A"/>
    <w:rsid w:val="001434B3"/>
    <w:rsid w:val="001548EA"/>
    <w:rsid w:val="00177F31"/>
    <w:rsid w:val="0019745F"/>
    <w:rsid w:val="001B303D"/>
    <w:rsid w:val="001B75C4"/>
    <w:rsid w:val="001D4D11"/>
    <w:rsid w:val="001D73E9"/>
    <w:rsid w:val="001E21C7"/>
    <w:rsid w:val="002217A4"/>
    <w:rsid w:val="002258B6"/>
    <w:rsid w:val="0024094C"/>
    <w:rsid w:val="00256376"/>
    <w:rsid w:val="00260443"/>
    <w:rsid w:val="0026288D"/>
    <w:rsid w:val="00274965"/>
    <w:rsid w:val="002B5C0D"/>
    <w:rsid w:val="002C0612"/>
    <w:rsid w:val="002F1D49"/>
    <w:rsid w:val="0030025D"/>
    <w:rsid w:val="00303880"/>
    <w:rsid w:val="003130CA"/>
    <w:rsid w:val="003732CE"/>
    <w:rsid w:val="003A6402"/>
    <w:rsid w:val="003B43E6"/>
    <w:rsid w:val="003C2E90"/>
    <w:rsid w:val="003D038F"/>
    <w:rsid w:val="003D5CB1"/>
    <w:rsid w:val="003D6216"/>
    <w:rsid w:val="0041197F"/>
    <w:rsid w:val="00416153"/>
    <w:rsid w:val="00427EB8"/>
    <w:rsid w:val="0044597D"/>
    <w:rsid w:val="00460E17"/>
    <w:rsid w:val="004968F7"/>
    <w:rsid w:val="004B692F"/>
    <w:rsid w:val="004C2431"/>
    <w:rsid w:val="004D28CF"/>
    <w:rsid w:val="004D3DD3"/>
    <w:rsid w:val="005144E6"/>
    <w:rsid w:val="00517372"/>
    <w:rsid w:val="00526614"/>
    <w:rsid w:val="005304C9"/>
    <w:rsid w:val="00535101"/>
    <w:rsid w:val="005438B3"/>
    <w:rsid w:val="00546128"/>
    <w:rsid w:val="005B64CE"/>
    <w:rsid w:val="005C0D57"/>
    <w:rsid w:val="005D4468"/>
    <w:rsid w:val="005E2396"/>
    <w:rsid w:val="005E7AE7"/>
    <w:rsid w:val="005F22FE"/>
    <w:rsid w:val="005F5601"/>
    <w:rsid w:val="00616187"/>
    <w:rsid w:val="006275E0"/>
    <w:rsid w:val="00632595"/>
    <w:rsid w:val="00642A6F"/>
    <w:rsid w:val="006476D6"/>
    <w:rsid w:val="00672562"/>
    <w:rsid w:val="00676B46"/>
    <w:rsid w:val="006A466F"/>
    <w:rsid w:val="006A5B59"/>
    <w:rsid w:val="006B58C5"/>
    <w:rsid w:val="006E267D"/>
    <w:rsid w:val="006E6173"/>
    <w:rsid w:val="006F2DAE"/>
    <w:rsid w:val="00707B79"/>
    <w:rsid w:val="00727A04"/>
    <w:rsid w:val="0073069F"/>
    <w:rsid w:val="0074183C"/>
    <w:rsid w:val="007425A9"/>
    <w:rsid w:val="007574F4"/>
    <w:rsid w:val="0076384B"/>
    <w:rsid w:val="007856BA"/>
    <w:rsid w:val="0078617B"/>
    <w:rsid w:val="007877A2"/>
    <w:rsid w:val="007B063D"/>
    <w:rsid w:val="007B55D0"/>
    <w:rsid w:val="007D4058"/>
    <w:rsid w:val="008013EA"/>
    <w:rsid w:val="00804DB9"/>
    <w:rsid w:val="0084647A"/>
    <w:rsid w:val="008550CD"/>
    <w:rsid w:val="0085733E"/>
    <w:rsid w:val="008630D8"/>
    <w:rsid w:val="00873A76"/>
    <w:rsid w:val="008B165D"/>
    <w:rsid w:val="008F4506"/>
    <w:rsid w:val="009101CC"/>
    <w:rsid w:val="00911DB8"/>
    <w:rsid w:val="00923D5F"/>
    <w:rsid w:val="00927102"/>
    <w:rsid w:val="00933FED"/>
    <w:rsid w:val="00935797"/>
    <w:rsid w:val="00943F8C"/>
    <w:rsid w:val="00947C2D"/>
    <w:rsid w:val="00984813"/>
    <w:rsid w:val="009A1C79"/>
    <w:rsid w:val="009A7C35"/>
    <w:rsid w:val="009B3DCF"/>
    <w:rsid w:val="009C3CDF"/>
    <w:rsid w:val="009F0C4E"/>
    <w:rsid w:val="009F23A3"/>
    <w:rsid w:val="00A0496B"/>
    <w:rsid w:val="00A56ED2"/>
    <w:rsid w:val="00AA070F"/>
    <w:rsid w:val="00AA1ADB"/>
    <w:rsid w:val="00AA3FDE"/>
    <w:rsid w:val="00AF0773"/>
    <w:rsid w:val="00AF5EF1"/>
    <w:rsid w:val="00AF7ADE"/>
    <w:rsid w:val="00B06C5B"/>
    <w:rsid w:val="00B1466D"/>
    <w:rsid w:val="00B152C6"/>
    <w:rsid w:val="00B3202D"/>
    <w:rsid w:val="00B3398C"/>
    <w:rsid w:val="00B51FA9"/>
    <w:rsid w:val="00B649EA"/>
    <w:rsid w:val="00BA6ADE"/>
    <w:rsid w:val="00BC6C36"/>
    <w:rsid w:val="00BD7554"/>
    <w:rsid w:val="00BE0EAA"/>
    <w:rsid w:val="00BF0619"/>
    <w:rsid w:val="00C27CC1"/>
    <w:rsid w:val="00C31F9D"/>
    <w:rsid w:val="00C332B2"/>
    <w:rsid w:val="00C51553"/>
    <w:rsid w:val="00C649C5"/>
    <w:rsid w:val="00CA6331"/>
    <w:rsid w:val="00CB09EF"/>
    <w:rsid w:val="00CB348C"/>
    <w:rsid w:val="00CC1566"/>
    <w:rsid w:val="00CC6995"/>
    <w:rsid w:val="00D018BB"/>
    <w:rsid w:val="00D31D79"/>
    <w:rsid w:val="00D355F1"/>
    <w:rsid w:val="00D3645B"/>
    <w:rsid w:val="00D426AD"/>
    <w:rsid w:val="00D7405D"/>
    <w:rsid w:val="00DA08FD"/>
    <w:rsid w:val="00DB68A2"/>
    <w:rsid w:val="00DE6EF0"/>
    <w:rsid w:val="00E02690"/>
    <w:rsid w:val="00E2297B"/>
    <w:rsid w:val="00E27125"/>
    <w:rsid w:val="00E37210"/>
    <w:rsid w:val="00E4467E"/>
    <w:rsid w:val="00EA21B3"/>
    <w:rsid w:val="00EE3818"/>
    <w:rsid w:val="00EF2D4D"/>
    <w:rsid w:val="00EF4146"/>
    <w:rsid w:val="00F11683"/>
    <w:rsid w:val="00F23885"/>
    <w:rsid w:val="00F317F6"/>
    <w:rsid w:val="00F84DE2"/>
    <w:rsid w:val="00F85B11"/>
    <w:rsid w:val="00FB1CF0"/>
    <w:rsid w:val="00FB2BDC"/>
    <w:rsid w:val="00FE73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564C6A"/>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4"/>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4"/>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4"/>
      </w:numPr>
    </w:pPr>
  </w:style>
  <w:style w:type="paragraph" w:styleId="TM1">
    <w:name w:val="toc 1"/>
    <w:basedOn w:val="Normal"/>
    <w:next w:val="Normal"/>
    <w:autoRedefine/>
    <w:uiPriority w:val="39"/>
    <w:unhideWhenUsed/>
    <w:rsid w:val="004D28CF"/>
    <w:pPr>
      <w:spacing w:after="100"/>
    </w:pPr>
  </w:style>
  <w:style w:type="character" w:customStyle="1" w:styleId="CommentaireCar">
    <w:name w:val="Commentaire Car"/>
    <w:basedOn w:val="Policepardfaut"/>
    <w:link w:val="Commentaire"/>
    <w:uiPriority w:val="99"/>
    <w:semiHidden/>
    <w:rsid w:val="00105764"/>
    <w:rPr>
      <w:rFonts w:ascii="AvenirNext LT Pro Cn" w:eastAsiaTheme="minorHAnsi" w:hAnsi="AvenirNext LT Pro Cn" w:cstheme="minorBidi"/>
      <w:lang w:eastAsia="en-US"/>
    </w:rPr>
  </w:style>
  <w:style w:type="paragraph" w:styleId="NormalWeb">
    <w:name w:val="Normal (Web)"/>
    <w:basedOn w:val="Normal"/>
    <w:uiPriority w:val="99"/>
    <w:semiHidden/>
    <w:unhideWhenUsed/>
    <w:rsid w:val="003D6216"/>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3D62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41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INRAE</Template>
  <TotalTime>1</TotalTime>
  <Pages>7</Pages>
  <Words>1505</Words>
  <Characters>9078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10562</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Celine Bernier</cp:lastModifiedBy>
  <cp:revision>2</cp:revision>
  <cp:lastPrinted>2025-10-07T12:05:00Z</cp:lastPrinted>
  <dcterms:created xsi:type="dcterms:W3CDTF">2025-10-13T09:07:00Z</dcterms:created>
  <dcterms:modified xsi:type="dcterms:W3CDTF">2025-10-13T09:07:00Z</dcterms:modified>
</cp:coreProperties>
</file>